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B494" w14:textId="663C9833" w:rsidR="0074028E" w:rsidRPr="001B10DD" w:rsidRDefault="00762C24">
      <w:pPr>
        <w:pStyle w:val="BodyText"/>
        <w:spacing w:before="109" w:line="204" w:lineRule="auto"/>
        <w:ind w:left="4604" w:right="4513"/>
        <w:jc w:val="center"/>
        <w:rPr>
          <w:rFonts w:ascii="Times New Roman" w:hAnsi="Times New Roman" w:cs="Times New Roman"/>
        </w:rPr>
      </w:pPr>
      <w:r w:rsidRPr="001B10D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A7F4563" wp14:editId="7FE13CED">
                <wp:simplePos x="0" y="0"/>
                <wp:positionH relativeFrom="column">
                  <wp:posOffset>371475</wp:posOffset>
                </wp:positionH>
                <wp:positionV relativeFrom="paragraph">
                  <wp:posOffset>82550</wp:posOffset>
                </wp:positionV>
                <wp:extent cx="16954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noFill/>
                          <a:miter lim="800000"/>
                          <a:headEnd/>
                          <a:tailEnd/>
                        </a:ln>
                      </wps:spPr>
                      <wps:txbx>
                        <w:txbxContent>
                          <w:p w14:paraId="2F749DA8" w14:textId="25AC36A0" w:rsidR="00762C24" w:rsidRDefault="00762C24">
                            <w:r w:rsidRPr="00762C24">
                              <w:rPr>
                                <w:noProof/>
                              </w:rPr>
                              <w:drawing>
                                <wp:inline distT="0" distB="0" distL="0" distR="0" wp14:anchorId="5AB867B3" wp14:editId="3D1078CC">
                                  <wp:extent cx="1503680" cy="6737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3680" cy="6737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F4563" id="_x0000_t202" coordsize="21600,21600" o:spt="202" path="m,l,21600r21600,l21600,xe">
                <v:stroke joinstyle="miter"/>
                <v:path gradientshapeok="t" o:connecttype="rect"/>
              </v:shapetype>
              <v:shape id="Text Box 2" o:spid="_x0000_s1026" type="#_x0000_t202" style="position:absolute;left:0;text-align:left;margin-left:29.25pt;margin-top:6.5pt;width:133.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" stroked="f">
                <v:textbox>
                  <w:txbxContent>
                    <w:p w14:paraId="2F749DA8" w14:textId="25AC36A0" w:rsidR="00762C24" w:rsidRDefault="00762C24">
                      <w:r w:rsidRPr="00762C24">
                        <w:rPr>
                          <w:noProof/>
                        </w:rPr>
                        <w:drawing>
                          <wp:inline distT="0" distB="0" distL="0" distR="0" wp14:anchorId="5AB867B3" wp14:editId="3D1078CC">
                            <wp:extent cx="1503680" cy="6737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3680" cy="673735"/>
                                    </a:xfrm>
                                    <a:prstGeom prst="rect">
                                      <a:avLst/>
                                    </a:prstGeom>
                                  </pic:spPr>
                                </pic:pic>
                              </a:graphicData>
                            </a:graphic>
                          </wp:inline>
                        </w:drawing>
                      </w:r>
                    </w:p>
                  </w:txbxContent>
                </v:textbox>
                <w10:wrap type="square"/>
              </v:shape>
            </w:pict>
          </mc:Fallback>
        </mc:AlternateContent>
      </w:r>
      <w:r w:rsidR="001F16AC" w:rsidRPr="001B10DD">
        <w:rPr>
          <w:rFonts w:ascii="Times New Roman" w:hAnsi="Times New Roman" w:cs="Times New Roman"/>
        </w:rPr>
        <w:t>New York State Association for Rural Health Finance Committee Meeting</w:t>
      </w:r>
    </w:p>
    <w:p w14:paraId="3C6B5401" w14:textId="0AAB1A1D" w:rsidR="0074028E" w:rsidRPr="001B10DD" w:rsidRDefault="0046316D">
      <w:pPr>
        <w:pStyle w:val="BodyText"/>
        <w:spacing w:line="204" w:lineRule="auto"/>
        <w:ind w:left="6176" w:right="6078" w:firstLine="7"/>
        <w:jc w:val="center"/>
        <w:rPr>
          <w:rFonts w:ascii="Times New Roman" w:hAnsi="Times New Roman" w:cs="Times New Roman"/>
        </w:rPr>
      </w:pPr>
      <w:r w:rsidRPr="001B10DD">
        <w:rPr>
          <w:rFonts w:ascii="Times New Roman" w:hAnsi="Times New Roman" w:cs="Times New Roman"/>
        </w:rPr>
        <w:t>June 10, 2019</w:t>
      </w:r>
      <w:r w:rsidRPr="001B10DD">
        <w:rPr>
          <w:rFonts w:ascii="Times New Roman" w:hAnsi="Times New Roman" w:cs="Times New Roman"/>
        </w:rPr>
        <w:br/>
      </w:r>
      <w:r w:rsidR="001F16AC" w:rsidRPr="001B10DD">
        <w:rPr>
          <w:rFonts w:ascii="Times New Roman" w:hAnsi="Times New Roman" w:cs="Times New Roman"/>
        </w:rPr>
        <w:t>Via Tele-Conference</w:t>
      </w:r>
    </w:p>
    <w:p w14:paraId="7C8273B7" w14:textId="77777777" w:rsidR="0074028E" w:rsidRDefault="0074028E">
      <w:pPr>
        <w:pStyle w:val="BodyText"/>
        <w:spacing w:before="10"/>
        <w:rPr>
          <w:sz w:val="23"/>
        </w:rPr>
      </w:pPr>
    </w:p>
    <w:p w14:paraId="339E2D04" w14:textId="5E841701" w:rsidR="0074028E" w:rsidRPr="001B10DD" w:rsidRDefault="001F16AC">
      <w:pPr>
        <w:spacing w:after="5"/>
        <w:ind w:left="4513" w:right="4513"/>
        <w:jc w:val="center"/>
        <w:rPr>
          <w:b/>
          <w:bCs/>
          <w:sz w:val="28"/>
          <w:szCs w:val="24"/>
        </w:rPr>
      </w:pPr>
      <w:r w:rsidRPr="001B10DD">
        <w:rPr>
          <w:b/>
          <w:bCs/>
          <w:sz w:val="28"/>
          <w:szCs w:val="24"/>
        </w:rPr>
        <w:t>P = Present  E = Excused</w:t>
      </w:r>
    </w:p>
    <w:tbl>
      <w:tblPr>
        <w:tblW w:w="0" w:type="auto"/>
        <w:tblInd w:w="2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21"/>
      </w:tblGrid>
      <w:tr w:rsidR="0074028E" w:rsidRPr="001B10DD" w14:paraId="466CBE15" w14:textId="77777777">
        <w:trPr>
          <w:trHeight w:val="431"/>
        </w:trPr>
        <w:tc>
          <w:tcPr>
            <w:tcW w:w="4681" w:type="dxa"/>
          </w:tcPr>
          <w:p w14:paraId="5631BDE8" w14:textId="77777777" w:rsidR="0074028E" w:rsidRPr="001B10DD" w:rsidRDefault="001F16AC">
            <w:pPr>
              <w:pStyle w:val="TableParagraph"/>
              <w:spacing w:before="74"/>
              <w:ind w:left="54"/>
              <w:rPr>
                <w:b/>
                <w:sz w:val="24"/>
              </w:rPr>
            </w:pPr>
            <w:r w:rsidRPr="001B10DD">
              <w:rPr>
                <w:b/>
                <w:sz w:val="24"/>
              </w:rPr>
              <w:t>Richard Kazel, Treasurer</w:t>
            </w:r>
          </w:p>
        </w:tc>
        <w:tc>
          <w:tcPr>
            <w:tcW w:w="720" w:type="dxa"/>
          </w:tcPr>
          <w:p w14:paraId="4D4F43BF" w14:textId="77777777" w:rsidR="0074028E" w:rsidRPr="001B10DD" w:rsidRDefault="001F16AC">
            <w:pPr>
              <w:pStyle w:val="TableParagraph"/>
              <w:spacing w:before="74"/>
              <w:ind w:left="282"/>
              <w:rPr>
                <w:b/>
                <w:sz w:val="24"/>
              </w:rPr>
            </w:pPr>
            <w:r w:rsidRPr="001B10DD">
              <w:rPr>
                <w:b/>
                <w:sz w:val="24"/>
              </w:rPr>
              <w:t>P</w:t>
            </w:r>
          </w:p>
        </w:tc>
        <w:tc>
          <w:tcPr>
            <w:tcW w:w="4052" w:type="dxa"/>
          </w:tcPr>
          <w:p w14:paraId="74E6E7C0" w14:textId="759E9BB2" w:rsidR="0074028E" w:rsidRPr="001B10DD" w:rsidRDefault="0046316D">
            <w:pPr>
              <w:pStyle w:val="TableParagraph"/>
              <w:spacing w:before="74"/>
              <w:ind w:left="40"/>
              <w:rPr>
                <w:b/>
                <w:sz w:val="24"/>
              </w:rPr>
            </w:pPr>
            <w:r w:rsidRPr="001B10DD">
              <w:rPr>
                <w:b/>
                <w:sz w:val="24"/>
              </w:rPr>
              <w:t>Helen Evans</w:t>
            </w:r>
          </w:p>
        </w:tc>
        <w:tc>
          <w:tcPr>
            <w:tcW w:w="721" w:type="dxa"/>
          </w:tcPr>
          <w:p w14:paraId="5955AA22" w14:textId="77777777" w:rsidR="0074028E" w:rsidRPr="001B10DD" w:rsidRDefault="001F16AC">
            <w:pPr>
              <w:pStyle w:val="TableParagraph"/>
              <w:spacing w:before="74"/>
              <w:ind w:left="282"/>
              <w:rPr>
                <w:b/>
                <w:sz w:val="24"/>
              </w:rPr>
            </w:pPr>
            <w:r w:rsidRPr="001B10DD">
              <w:rPr>
                <w:b/>
                <w:sz w:val="24"/>
              </w:rPr>
              <w:t>P</w:t>
            </w:r>
          </w:p>
        </w:tc>
      </w:tr>
      <w:tr w:rsidR="0074028E" w:rsidRPr="001B10DD" w14:paraId="235B4205" w14:textId="77777777">
        <w:trPr>
          <w:trHeight w:val="431"/>
        </w:trPr>
        <w:tc>
          <w:tcPr>
            <w:tcW w:w="4681" w:type="dxa"/>
          </w:tcPr>
          <w:p w14:paraId="54C4FC67" w14:textId="076C3430" w:rsidR="0074028E" w:rsidRPr="001B10DD" w:rsidRDefault="0046316D">
            <w:pPr>
              <w:pStyle w:val="TableParagraph"/>
              <w:spacing w:before="74"/>
              <w:ind w:left="54"/>
              <w:rPr>
                <w:b/>
                <w:sz w:val="24"/>
              </w:rPr>
            </w:pPr>
            <w:r w:rsidRPr="001B10DD">
              <w:rPr>
                <w:b/>
                <w:sz w:val="24"/>
              </w:rPr>
              <w:t>Michael Pease</w:t>
            </w:r>
          </w:p>
        </w:tc>
        <w:tc>
          <w:tcPr>
            <w:tcW w:w="720" w:type="dxa"/>
          </w:tcPr>
          <w:p w14:paraId="2413CDEB" w14:textId="738E0AAF" w:rsidR="0074028E" w:rsidRPr="001B10DD" w:rsidRDefault="0046316D">
            <w:pPr>
              <w:pStyle w:val="TableParagraph"/>
              <w:spacing w:before="74"/>
              <w:ind w:left="282"/>
              <w:rPr>
                <w:b/>
                <w:sz w:val="24"/>
              </w:rPr>
            </w:pPr>
            <w:r w:rsidRPr="001B10DD">
              <w:rPr>
                <w:b/>
                <w:sz w:val="24"/>
              </w:rPr>
              <w:t>P</w:t>
            </w:r>
          </w:p>
        </w:tc>
        <w:tc>
          <w:tcPr>
            <w:tcW w:w="4052" w:type="dxa"/>
          </w:tcPr>
          <w:p w14:paraId="26CF6353" w14:textId="5C5C837E" w:rsidR="0074028E" w:rsidRPr="001B10DD" w:rsidRDefault="0046316D">
            <w:pPr>
              <w:pStyle w:val="TableParagraph"/>
              <w:spacing w:before="74"/>
              <w:ind w:left="40"/>
              <w:rPr>
                <w:b/>
                <w:sz w:val="24"/>
              </w:rPr>
            </w:pPr>
            <w:r w:rsidRPr="001B10DD">
              <w:rPr>
                <w:b/>
                <w:sz w:val="24"/>
              </w:rPr>
              <w:t>Richard Merchant</w:t>
            </w:r>
          </w:p>
        </w:tc>
        <w:tc>
          <w:tcPr>
            <w:tcW w:w="721" w:type="dxa"/>
          </w:tcPr>
          <w:p w14:paraId="7D222E68" w14:textId="77777777" w:rsidR="0074028E" w:rsidRPr="001B10DD" w:rsidRDefault="001F16AC">
            <w:pPr>
              <w:pStyle w:val="TableParagraph"/>
              <w:spacing w:before="74"/>
              <w:ind w:left="282"/>
              <w:rPr>
                <w:b/>
                <w:sz w:val="24"/>
              </w:rPr>
            </w:pPr>
            <w:r w:rsidRPr="001B10DD">
              <w:rPr>
                <w:b/>
                <w:sz w:val="24"/>
              </w:rPr>
              <w:t>P</w:t>
            </w:r>
          </w:p>
        </w:tc>
      </w:tr>
      <w:tr w:rsidR="0074028E" w:rsidRPr="001B10DD" w14:paraId="12A41D6B" w14:textId="77777777">
        <w:trPr>
          <w:trHeight w:val="433"/>
        </w:trPr>
        <w:tc>
          <w:tcPr>
            <w:tcW w:w="4681" w:type="dxa"/>
          </w:tcPr>
          <w:p w14:paraId="7F008591" w14:textId="3B151121" w:rsidR="0074028E" w:rsidRPr="001B10DD" w:rsidRDefault="0046316D">
            <w:pPr>
              <w:pStyle w:val="TableParagraph"/>
              <w:spacing w:before="74"/>
              <w:ind w:left="50"/>
              <w:rPr>
                <w:b/>
                <w:sz w:val="24"/>
              </w:rPr>
            </w:pPr>
            <w:r w:rsidRPr="001B10DD">
              <w:rPr>
                <w:b/>
                <w:sz w:val="24"/>
              </w:rPr>
              <w:t>Sara Wall Bollinger</w:t>
            </w:r>
          </w:p>
        </w:tc>
        <w:tc>
          <w:tcPr>
            <w:tcW w:w="720" w:type="dxa"/>
          </w:tcPr>
          <w:p w14:paraId="5210FE04" w14:textId="77777777" w:rsidR="0074028E" w:rsidRPr="001B10DD" w:rsidRDefault="001F16AC">
            <w:pPr>
              <w:pStyle w:val="TableParagraph"/>
              <w:spacing w:before="74"/>
              <w:ind w:left="282"/>
              <w:rPr>
                <w:b/>
                <w:sz w:val="24"/>
              </w:rPr>
            </w:pPr>
            <w:r w:rsidRPr="001B10DD">
              <w:rPr>
                <w:b/>
                <w:sz w:val="24"/>
              </w:rPr>
              <w:t>P</w:t>
            </w:r>
          </w:p>
        </w:tc>
        <w:tc>
          <w:tcPr>
            <w:tcW w:w="4052" w:type="dxa"/>
          </w:tcPr>
          <w:p w14:paraId="70EDC07C" w14:textId="3E5E11D4" w:rsidR="0074028E" w:rsidRPr="001B10DD" w:rsidRDefault="0046316D">
            <w:pPr>
              <w:pStyle w:val="TableParagraph"/>
              <w:spacing w:before="74"/>
              <w:ind w:left="40"/>
              <w:rPr>
                <w:b/>
                <w:sz w:val="24"/>
              </w:rPr>
            </w:pPr>
            <w:r w:rsidRPr="001B10DD">
              <w:rPr>
                <w:b/>
                <w:sz w:val="24"/>
              </w:rPr>
              <w:t>Katie Rafferty</w:t>
            </w:r>
          </w:p>
        </w:tc>
        <w:tc>
          <w:tcPr>
            <w:tcW w:w="721" w:type="dxa"/>
          </w:tcPr>
          <w:p w14:paraId="6BFE3780" w14:textId="77777777" w:rsidR="0074028E" w:rsidRPr="001B10DD" w:rsidRDefault="001F16AC">
            <w:pPr>
              <w:pStyle w:val="TableParagraph"/>
              <w:spacing w:before="74"/>
              <w:ind w:left="285"/>
              <w:rPr>
                <w:b/>
                <w:sz w:val="24"/>
              </w:rPr>
            </w:pPr>
            <w:r w:rsidRPr="001B10DD">
              <w:rPr>
                <w:b/>
                <w:sz w:val="24"/>
              </w:rPr>
              <w:t>P</w:t>
            </w:r>
          </w:p>
        </w:tc>
      </w:tr>
      <w:tr w:rsidR="0046316D" w:rsidRPr="001B10DD" w14:paraId="36B7195E" w14:textId="77777777">
        <w:trPr>
          <w:trHeight w:val="433"/>
        </w:trPr>
        <w:tc>
          <w:tcPr>
            <w:tcW w:w="4681" w:type="dxa"/>
          </w:tcPr>
          <w:p w14:paraId="0F5ED8C1" w14:textId="1667BBBA" w:rsidR="0046316D" w:rsidRPr="001B10DD" w:rsidRDefault="0046316D">
            <w:pPr>
              <w:pStyle w:val="TableParagraph"/>
              <w:spacing w:before="74"/>
              <w:ind w:left="50"/>
              <w:rPr>
                <w:b/>
                <w:sz w:val="24"/>
              </w:rPr>
            </w:pPr>
            <w:r w:rsidRPr="001B10DD">
              <w:rPr>
                <w:b/>
                <w:sz w:val="24"/>
              </w:rPr>
              <w:t>Karin Blackburn</w:t>
            </w:r>
          </w:p>
        </w:tc>
        <w:tc>
          <w:tcPr>
            <w:tcW w:w="720" w:type="dxa"/>
          </w:tcPr>
          <w:p w14:paraId="44AE1D6F" w14:textId="24998DF6" w:rsidR="0046316D" w:rsidRPr="001B10DD" w:rsidRDefault="0046316D">
            <w:pPr>
              <w:pStyle w:val="TableParagraph"/>
              <w:spacing w:before="74"/>
              <w:ind w:left="282"/>
              <w:rPr>
                <w:b/>
                <w:sz w:val="24"/>
              </w:rPr>
            </w:pPr>
            <w:r w:rsidRPr="001B10DD">
              <w:rPr>
                <w:b/>
                <w:sz w:val="24"/>
              </w:rPr>
              <w:t>P</w:t>
            </w:r>
          </w:p>
        </w:tc>
        <w:tc>
          <w:tcPr>
            <w:tcW w:w="4052" w:type="dxa"/>
          </w:tcPr>
          <w:p w14:paraId="66AC0370" w14:textId="25F59498" w:rsidR="0046316D" w:rsidRPr="001B10DD" w:rsidRDefault="00DD4715">
            <w:pPr>
              <w:pStyle w:val="TableParagraph"/>
              <w:spacing w:before="74"/>
              <w:ind w:left="40"/>
              <w:rPr>
                <w:b/>
                <w:sz w:val="24"/>
              </w:rPr>
            </w:pPr>
            <w:r>
              <w:rPr>
                <w:b/>
                <w:sz w:val="24"/>
              </w:rPr>
              <w:t>Nancy McGraw</w:t>
            </w:r>
          </w:p>
        </w:tc>
        <w:tc>
          <w:tcPr>
            <w:tcW w:w="721" w:type="dxa"/>
          </w:tcPr>
          <w:p w14:paraId="700CD0E7" w14:textId="59524044" w:rsidR="0046316D" w:rsidRPr="001B10DD" w:rsidRDefault="00DD4715">
            <w:pPr>
              <w:pStyle w:val="TableParagraph"/>
              <w:spacing w:before="74"/>
              <w:ind w:left="285"/>
              <w:rPr>
                <w:b/>
                <w:sz w:val="24"/>
              </w:rPr>
            </w:pPr>
            <w:r>
              <w:rPr>
                <w:b/>
                <w:sz w:val="24"/>
              </w:rPr>
              <w:t>E</w:t>
            </w:r>
          </w:p>
        </w:tc>
      </w:tr>
      <w:tr w:rsidR="00680E90" w:rsidRPr="001B10DD" w14:paraId="51262555" w14:textId="77777777">
        <w:trPr>
          <w:trHeight w:val="433"/>
        </w:trPr>
        <w:tc>
          <w:tcPr>
            <w:tcW w:w="4681" w:type="dxa"/>
          </w:tcPr>
          <w:p w14:paraId="76F01464" w14:textId="77777777" w:rsidR="00680E90" w:rsidRPr="001B10DD" w:rsidRDefault="00680E90">
            <w:pPr>
              <w:pStyle w:val="TableParagraph"/>
              <w:spacing w:before="74"/>
              <w:ind w:left="50"/>
              <w:rPr>
                <w:b/>
                <w:sz w:val="24"/>
              </w:rPr>
            </w:pPr>
          </w:p>
        </w:tc>
        <w:tc>
          <w:tcPr>
            <w:tcW w:w="720" w:type="dxa"/>
          </w:tcPr>
          <w:p w14:paraId="734B25A1" w14:textId="77777777" w:rsidR="00680E90" w:rsidRPr="001B10DD" w:rsidRDefault="00680E90">
            <w:pPr>
              <w:pStyle w:val="TableParagraph"/>
              <w:spacing w:before="74"/>
              <w:ind w:left="282"/>
              <w:rPr>
                <w:b/>
                <w:sz w:val="24"/>
              </w:rPr>
            </w:pPr>
          </w:p>
        </w:tc>
        <w:tc>
          <w:tcPr>
            <w:tcW w:w="4052" w:type="dxa"/>
          </w:tcPr>
          <w:p w14:paraId="24EF8182" w14:textId="727E354A" w:rsidR="00680E90" w:rsidRDefault="00680E90">
            <w:pPr>
              <w:pStyle w:val="TableParagraph"/>
              <w:spacing w:before="74"/>
              <w:ind w:left="40"/>
              <w:rPr>
                <w:b/>
                <w:sz w:val="24"/>
              </w:rPr>
            </w:pPr>
            <w:r>
              <w:rPr>
                <w:b/>
                <w:sz w:val="24"/>
              </w:rPr>
              <w:t>Mary Zelazny</w:t>
            </w:r>
          </w:p>
        </w:tc>
        <w:tc>
          <w:tcPr>
            <w:tcW w:w="721" w:type="dxa"/>
          </w:tcPr>
          <w:p w14:paraId="134820FC" w14:textId="6ECF4C18" w:rsidR="00680E90" w:rsidRDefault="00680E90">
            <w:pPr>
              <w:pStyle w:val="TableParagraph"/>
              <w:spacing w:before="74"/>
              <w:ind w:left="285"/>
              <w:rPr>
                <w:b/>
                <w:sz w:val="24"/>
              </w:rPr>
            </w:pPr>
            <w:r>
              <w:rPr>
                <w:b/>
                <w:sz w:val="24"/>
              </w:rPr>
              <w:t>E</w:t>
            </w:r>
            <w:bookmarkStart w:id="0" w:name="_GoBack"/>
            <w:bookmarkEnd w:id="0"/>
          </w:p>
        </w:tc>
      </w:tr>
    </w:tbl>
    <w:p w14:paraId="3D094559" w14:textId="77777777" w:rsidR="0074028E" w:rsidRPr="001B10DD" w:rsidRDefault="0074028E">
      <w:pPr>
        <w:pStyle w:val="BodyText"/>
        <w:rPr>
          <w:rFonts w:ascii="Times New Roman" w:hAnsi="Times New Roman" w:cs="Times New Roman"/>
          <w:b w:val="0"/>
          <w:sz w:val="20"/>
        </w:rPr>
      </w:pPr>
    </w:p>
    <w:p w14:paraId="27B63901" w14:textId="77777777" w:rsidR="0074028E" w:rsidRDefault="0074028E">
      <w:pPr>
        <w:pStyle w:val="BodyText"/>
        <w:spacing w:before="10"/>
        <w:rPr>
          <w:b w:val="0"/>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392"/>
        <w:gridCol w:w="4103"/>
        <w:gridCol w:w="2287"/>
      </w:tblGrid>
      <w:tr w:rsidR="0074028E" w14:paraId="1D501DF0" w14:textId="77777777" w:rsidTr="00A53136">
        <w:trPr>
          <w:trHeight w:val="275"/>
        </w:trPr>
        <w:tc>
          <w:tcPr>
            <w:tcW w:w="1980" w:type="dxa"/>
            <w:shd w:val="clear" w:color="auto" w:fill="D9D9D9" w:themeFill="background1" w:themeFillShade="D9"/>
          </w:tcPr>
          <w:p w14:paraId="14B5B4C1" w14:textId="77777777" w:rsidR="0074028E" w:rsidRPr="001B10DD" w:rsidRDefault="001F16AC">
            <w:pPr>
              <w:pStyle w:val="TableParagraph"/>
              <w:spacing w:line="256" w:lineRule="exact"/>
              <w:ind w:left="107"/>
              <w:rPr>
                <w:b/>
                <w:bCs/>
                <w:sz w:val="24"/>
              </w:rPr>
            </w:pPr>
            <w:r w:rsidRPr="001B10DD">
              <w:rPr>
                <w:b/>
                <w:bCs/>
                <w:sz w:val="24"/>
              </w:rPr>
              <w:t>Topic</w:t>
            </w:r>
          </w:p>
        </w:tc>
        <w:tc>
          <w:tcPr>
            <w:tcW w:w="6392" w:type="dxa"/>
            <w:shd w:val="clear" w:color="auto" w:fill="D9D9D9" w:themeFill="background1" w:themeFillShade="D9"/>
          </w:tcPr>
          <w:p w14:paraId="19E41E57" w14:textId="77777777" w:rsidR="0074028E" w:rsidRPr="001B10DD" w:rsidRDefault="001F16AC">
            <w:pPr>
              <w:pStyle w:val="TableParagraph"/>
              <w:spacing w:line="256" w:lineRule="exact"/>
              <w:ind w:left="108"/>
              <w:rPr>
                <w:b/>
                <w:bCs/>
                <w:sz w:val="24"/>
              </w:rPr>
            </w:pPr>
            <w:r w:rsidRPr="001B10DD">
              <w:rPr>
                <w:b/>
                <w:bCs/>
                <w:sz w:val="24"/>
              </w:rPr>
              <w:t>Discussion</w:t>
            </w:r>
          </w:p>
        </w:tc>
        <w:tc>
          <w:tcPr>
            <w:tcW w:w="4103" w:type="dxa"/>
            <w:shd w:val="clear" w:color="auto" w:fill="D9D9D9" w:themeFill="background1" w:themeFillShade="D9"/>
          </w:tcPr>
          <w:p w14:paraId="5F6CBB5B" w14:textId="77777777" w:rsidR="0074028E" w:rsidRPr="001B10DD" w:rsidRDefault="001F16AC">
            <w:pPr>
              <w:pStyle w:val="TableParagraph"/>
              <w:spacing w:line="256" w:lineRule="exact"/>
              <w:ind w:left="106"/>
              <w:rPr>
                <w:b/>
                <w:bCs/>
                <w:sz w:val="24"/>
              </w:rPr>
            </w:pPr>
            <w:r w:rsidRPr="001B10DD">
              <w:rPr>
                <w:b/>
                <w:bCs/>
                <w:sz w:val="24"/>
              </w:rPr>
              <w:t>Conclusions</w:t>
            </w:r>
          </w:p>
        </w:tc>
        <w:tc>
          <w:tcPr>
            <w:tcW w:w="2287" w:type="dxa"/>
            <w:shd w:val="clear" w:color="auto" w:fill="D9D9D9" w:themeFill="background1" w:themeFillShade="D9"/>
          </w:tcPr>
          <w:p w14:paraId="695C8466" w14:textId="0628CB4E" w:rsidR="0074028E" w:rsidRPr="001B10DD" w:rsidRDefault="0046316D" w:rsidP="004E1CCB">
            <w:pPr>
              <w:pStyle w:val="TableParagraph"/>
              <w:spacing w:line="256" w:lineRule="exact"/>
              <w:ind w:left="150"/>
              <w:rPr>
                <w:b/>
                <w:bCs/>
                <w:sz w:val="24"/>
              </w:rPr>
            </w:pPr>
            <w:r w:rsidRPr="001B10DD">
              <w:rPr>
                <w:b/>
                <w:bCs/>
                <w:sz w:val="24"/>
              </w:rPr>
              <w:t>Action</w:t>
            </w:r>
          </w:p>
        </w:tc>
      </w:tr>
      <w:tr w:rsidR="0074028E" w14:paraId="1B83E437" w14:textId="77777777" w:rsidTr="00A53136">
        <w:trPr>
          <w:trHeight w:val="276"/>
        </w:trPr>
        <w:tc>
          <w:tcPr>
            <w:tcW w:w="1980" w:type="dxa"/>
          </w:tcPr>
          <w:p w14:paraId="259954B5" w14:textId="36DC9F8B" w:rsidR="0074028E" w:rsidRPr="004E1CCB" w:rsidRDefault="001F16AC">
            <w:pPr>
              <w:pStyle w:val="TableParagraph"/>
              <w:spacing w:line="256" w:lineRule="exact"/>
              <w:ind w:left="107"/>
              <w:rPr>
                <w:bCs/>
                <w:sz w:val="24"/>
              </w:rPr>
            </w:pPr>
            <w:r>
              <w:rPr>
                <w:b/>
                <w:sz w:val="24"/>
              </w:rPr>
              <w:t>Call to Order</w:t>
            </w:r>
            <w:r w:rsidR="004E1CCB">
              <w:rPr>
                <w:b/>
                <w:sz w:val="24"/>
              </w:rPr>
              <w:br/>
            </w:r>
            <w:r w:rsidR="004E1CCB">
              <w:rPr>
                <w:bCs/>
                <w:sz w:val="24"/>
              </w:rPr>
              <w:t>Richard Kazel, Finance Committee Chair</w:t>
            </w:r>
          </w:p>
        </w:tc>
        <w:tc>
          <w:tcPr>
            <w:tcW w:w="6392" w:type="dxa"/>
          </w:tcPr>
          <w:p w14:paraId="06537967" w14:textId="77777777" w:rsidR="0074028E" w:rsidRDefault="001F16AC">
            <w:pPr>
              <w:pStyle w:val="TableParagraph"/>
              <w:spacing w:line="256" w:lineRule="exact"/>
              <w:ind w:left="108"/>
              <w:rPr>
                <w:sz w:val="24"/>
              </w:rPr>
            </w:pPr>
            <w:r>
              <w:rPr>
                <w:sz w:val="24"/>
              </w:rPr>
              <w:t xml:space="preserve">Meeting convened at </w:t>
            </w:r>
            <w:r w:rsidR="00D456C8">
              <w:rPr>
                <w:sz w:val="24"/>
              </w:rPr>
              <w:t>2:30PM</w:t>
            </w:r>
          </w:p>
        </w:tc>
        <w:tc>
          <w:tcPr>
            <w:tcW w:w="4103" w:type="dxa"/>
          </w:tcPr>
          <w:p w14:paraId="4B650922" w14:textId="77777777" w:rsidR="0074028E" w:rsidRDefault="0074028E">
            <w:pPr>
              <w:pStyle w:val="TableParagraph"/>
              <w:rPr>
                <w:sz w:val="20"/>
              </w:rPr>
            </w:pPr>
          </w:p>
        </w:tc>
        <w:tc>
          <w:tcPr>
            <w:tcW w:w="2287" w:type="dxa"/>
          </w:tcPr>
          <w:p w14:paraId="7E1C3756" w14:textId="77777777" w:rsidR="0074028E" w:rsidRDefault="0074028E" w:rsidP="004E1CCB">
            <w:pPr>
              <w:pStyle w:val="TableParagraph"/>
              <w:ind w:left="150"/>
              <w:rPr>
                <w:sz w:val="20"/>
              </w:rPr>
            </w:pPr>
          </w:p>
        </w:tc>
      </w:tr>
      <w:tr w:rsidR="0046316D" w14:paraId="086C8470" w14:textId="77777777" w:rsidTr="00A53136">
        <w:trPr>
          <w:trHeight w:val="669"/>
        </w:trPr>
        <w:tc>
          <w:tcPr>
            <w:tcW w:w="1980" w:type="dxa"/>
          </w:tcPr>
          <w:p w14:paraId="730901E9" w14:textId="13C3952F" w:rsidR="0046316D" w:rsidRDefault="0046316D">
            <w:pPr>
              <w:pStyle w:val="TableParagraph"/>
              <w:spacing w:line="275" w:lineRule="exact"/>
              <w:ind w:left="107"/>
              <w:rPr>
                <w:b/>
                <w:sz w:val="24"/>
              </w:rPr>
            </w:pPr>
            <w:r>
              <w:rPr>
                <w:b/>
                <w:sz w:val="24"/>
              </w:rPr>
              <w:t>Agenda Modifications</w:t>
            </w:r>
          </w:p>
        </w:tc>
        <w:tc>
          <w:tcPr>
            <w:tcW w:w="6392" w:type="dxa"/>
          </w:tcPr>
          <w:p w14:paraId="3B9B2A2D" w14:textId="2E49847A" w:rsidR="0046316D" w:rsidRDefault="0046316D">
            <w:pPr>
              <w:pStyle w:val="TableParagraph"/>
              <w:ind w:left="108" w:right="325"/>
              <w:jc w:val="both"/>
            </w:pPr>
            <w:r>
              <w:t>None</w:t>
            </w:r>
            <w:r w:rsidR="001B10DD">
              <w:t>.</w:t>
            </w:r>
          </w:p>
        </w:tc>
        <w:tc>
          <w:tcPr>
            <w:tcW w:w="4103" w:type="dxa"/>
          </w:tcPr>
          <w:p w14:paraId="4AADD4CB" w14:textId="77777777" w:rsidR="0046316D" w:rsidRDefault="0046316D">
            <w:pPr>
              <w:pStyle w:val="TableParagraph"/>
              <w:ind w:left="106" w:right="89"/>
              <w:rPr>
                <w:sz w:val="24"/>
              </w:rPr>
            </w:pPr>
          </w:p>
        </w:tc>
        <w:tc>
          <w:tcPr>
            <w:tcW w:w="2287" w:type="dxa"/>
          </w:tcPr>
          <w:p w14:paraId="09C93E6D" w14:textId="77777777" w:rsidR="0046316D" w:rsidRDefault="0046316D" w:rsidP="004E1CCB">
            <w:pPr>
              <w:pStyle w:val="TableParagraph"/>
              <w:ind w:left="150"/>
            </w:pPr>
          </w:p>
        </w:tc>
      </w:tr>
      <w:tr w:rsidR="0074028E" w14:paraId="5C1D9DD6" w14:textId="77777777" w:rsidTr="00A53136">
        <w:trPr>
          <w:trHeight w:val="1518"/>
        </w:trPr>
        <w:tc>
          <w:tcPr>
            <w:tcW w:w="1980" w:type="dxa"/>
          </w:tcPr>
          <w:p w14:paraId="2DD6E321" w14:textId="02C6FD41" w:rsidR="0074028E" w:rsidRDefault="0046316D">
            <w:pPr>
              <w:pStyle w:val="TableParagraph"/>
              <w:spacing w:line="275" w:lineRule="exact"/>
              <w:ind w:left="107"/>
              <w:rPr>
                <w:b/>
                <w:sz w:val="24"/>
              </w:rPr>
            </w:pPr>
            <w:r>
              <w:rPr>
                <w:b/>
                <w:sz w:val="24"/>
              </w:rPr>
              <w:t>Quick</w:t>
            </w:r>
            <w:r w:rsidR="00DA2EED">
              <w:rPr>
                <w:b/>
                <w:sz w:val="24"/>
              </w:rPr>
              <w:t>B</w:t>
            </w:r>
            <w:r>
              <w:rPr>
                <w:b/>
                <w:sz w:val="24"/>
              </w:rPr>
              <w:t>ooks 2019 Update</w:t>
            </w:r>
            <w:r>
              <w:rPr>
                <w:b/>
                <w:sz w:val="24"/>
              </w:rPr>
              <w:br/>
            </w:r>
            <w:r w:rsidRPr="0046316D">
              <w:rPr>
                <w:bCs/>
                <w:sz w:val="24"/>
              </w:rPr>
              <w:t>Katie Rafferty, Accounting Manger</w:t>
            </w:r>
          </w:p>
        </w:tc>
        <w:tc>
          <w:tcPr>
            <w:tcW w:w="6392" w:type="dxa"/>
          </w:tcPr>
          <w:p w14:paraId="5B1D8F2E" w14:textId="3A531869" w:rsidR="0074028E" w:rsidRDefault="004E1CCB">
            <w:pPr>
              <w:pStyle w:val="TableParagraph"/>
              <w:spacing w:before="1" w:line="250" w:lineRule="atLeast"/>
              <w:ind w:left="108" w:right="522"/>
            </w:pPr>
            <w:r>
              <w:t>Katie w</w:t>
            </w:r>
            <w:r w:rsidR="009E47BA">
              <w:t xml:space="preserve">orked with auditors at Pinto, </w:t>
            </w:r>
            <w:proofErr w:type="spellStart"/>
            <w:r w:rsidR="009E47BA">
              <w:t>Mucenski</w:t>
            </w:r>
            <w:proofErr w:type="spellEnd"/>
            <w:r w:rsidR="009E47BA">
              <w:t>,</w:t>
            </w:r>
            <w:r w:rsidR="00EA25DC">
              <w:t xml:space="preserve"> </w:t>
            </w:r>
            <w:proofErr w:type="spellStart"/>
            <w:r w:rsidR="009E47BA">
              <w:t>VanHouse</w:t>
            </w:r>
            <w:proofErr w:type="spellEnd"/>
            <w:r w:rsidR="009E47BA">
              <w:t xml:space="preserve"> and Hooper</w:t>
            </w:r>
            <w:r>
              <w:t xml:space="preserve"> to </w:t>
            </w:r>
            <w:r w:rsidR="007C79A7">
              <w:t xml:space="preserve">ensure </w:t>
            </w:r>
            <w:r w:rsidR="00EA25DC">
              <w:t xml:space="preserve">that </w:t>
            </w:r>
            <w:r w:rsidR="007C79A7">
              <w:t>NYSARH</w:t>
            </w:r>
            <w:r>
              <w:t xml:space="preserve"> </w:t>
            </w:r>
            <w:r w:rsidR="007C79A7">
              <w:t>is</w:t>
            </w:r>
            <w:r>
              <w:t xml:space="preserve"> moving forward appropriately with the 2019 Quick</w:t>
            </w:r>
            <w:r w:rsidR="00DA2EED">
              <w:t>B</w:t>
            </w:r>
            <w:r>
              <w:t>ooks process</w:t>
            </w:r>
            <w:r w:rsidR="009E47BA">
              <w:t xml:space="preserve">.  </w:t>
            </w:r>
            <w:r>
              <w:t xml:space="preserve">Staff at PMVH helped NAHEC </w:t>
            </w:r>
            <w:r w:rsidR="009E47BA">
              <w:t>update Qu</w:t>
            </w:r>
            <w:r w:rsidR="007C79A7">
              <w:t>i</w:t>
            </w:r>
            <w:r w:rsidR="009E47BA">
              <w:t>ck</w:t>
            </w:r>
            <w:r w:rsidR="00DA2EED">
              <w:t>B</w:t>
            </w:r>
            <w:r w:rsidR="009E47BA">
              <w:t>ooks 2019 Desktop</w:t>
            </w:r>
            <w:r>
              <w:t xml:space="preserve"> and u</w:t>
            </w:r>
            <w:r w:rsidR="009E47BA">
              <w:t xml:space="preserve">ploaded backup information from Seven Valleys.  </w:t>
            </w:r>
            <w:r w:rsidR="007C79A7">
              <w:t>All</w:t>
            </w:r>
            <w:r w:rsidR="00EA25DC">
              <w:t xml:space="preserve"> NYSARH</w:t>
            </w:r>
            <w:r w:rsidR="007C79A7">
              <w:t xml:space="preserve"> back-up information is now stored and downloaded appropriately.</w:t>
            </w:r>
            <w:r w:rsidR="009E47BA">
              <w:t xml:space="preserve">  </w:t>
            </w:r>
          </w:p>
        </w:tc>
        <w:tc>
          <w:tcPr>
            <w:tcW w:w="4103" w:type="dxa"/>
          </w:tcPr>
          <w:p w14:paraId="180ABC58" w14:textId="062F1A64" w:rsidR="0074028E" w:rsidRDefault="0074028E">
            <w:pPr>
              <w:pStyle w:val="TableParagraph"/>
              <w:ind w:left="106" w:right="89"/>
              <w:rPr>
                <w:sz w:val="24"/>
              </w:rPr>
            </w:pPr>
          </w:p>
        </w:tc>
        <w:tc>
          <w:tcPr>
            <w:tcW w:w="2287" w:type="dxa"/>
          </w:tcPr>
          <w:p w14:paraId="6EE82D45" w14:textId="77777777" w:rsidR="0074028E" w:rsidRDefault="0074028E" w:rsidP="004E1CCB">
            <w:pPr>
              <w:pStyle w:val="TableParagraph"/>
              <w:ind w:left="150"/>
            </w:pPr>
          </w:p>
        </w:tc>
      </w:tr>
      <w:tr w:rsidR="0074028E" w14:paraId="6C2F3DF2" w14:textId="77777777" w:rsidTr="00A53136">
        <w:trPr>
          <w:trHeight w:val="2244"/>
        </w:trPr>
        <w:tc>
          <w:tcPr>
            <w:tcW w:w="1980" w:type="dxa"/>
          </w:tcPr>
          <w:p w14:paraId="773CF8A0" w14:textId="175D8746" w:rsidR="0074028E" w:rsidRDefault="0046316D">
            <w:pPr>
              <w:pStyle w:val="TableParagraph"/>
              <w:spacing w:line="273" w:lineRule="exact"/>
              <w:ind w:left="107"/>
              <w:rPr>
                <w:b/>
                <w:sz w:val="24"/>
              </w:rPr>
            </w:pPr>
            <w:r>
              <w:rPr>
                <w:b/>
                <w:sz w:val="24"/>
              </w:rPr>
              <w:t>2017 990 &amp; CHAR 500 Draft &amp; Freed Maxick Update</w:t>
            </w:r>
            <w:r>
              <w:rPr>
                <w:b/>
                <w:sz w:val="24"/>
              </w:rPr>
              <w:br/>
            </w:r>
            <w:r w:rsidRPr="0046316D">
              <w:rPr>
                <w:bCs/>
                <w:sz w:val="24"/>
              </w:rPr>
              <w:t>Richard Kazel, Finance Committee Chair</w:t>
            </w:r>
          </w:p>
        </w:tc>
        <w:tc>
          <w:tcPr>
            <w:tcW w:w="6392" w:type="dxa"/>
          </w:tcPr>
          <w:p w14:paraId="7BB8D8EA" w14:textId="0ED92690" w:rsidR="0074028E" w:rsidRDefault="007C79A7" w:rsidP="009E47BA">
            <w:pPr>
              <w:pStyle w:val="TableParagraph"/>
              <w:spacing w:before="9"/>
              <w:ind w:left="150"/>
              <w:rPr>
                <w:sz w:val="24"/>
              </w:rPr>
            </w:pPr>
            <w:r>
              <w:rPr>
                <w:sz w:val="24"/>
              </w:rPr>
              <w:t>NYSARH’s plan of action regarding IRS reporting was to</w:t>
            </w:r>
            <w:r w:rsidR="009E47BA">
              <w:rPr>
                <w:sz w:val="24"/>
              </w:rPr>
              <w:t xml:space="preserve"> </w:t>
            </w:r>
            <w:r>
              <w:rPr>
                <w:sz w:val="24"/>
              </w:rPr>
              <w:t xml:space="preserve">have </w:t>
            </w:r>
            <w:r w:rsidR="009E47BA">
              <w:rPr>
                <w:sz w:val="24"/>
              </w:rPr>
              <w:t xml:space="preserve">Freed Maxick </w:t>
            </w:r>
            <w:r>
              <w:rPr>
                <w:sz w:val="24"/>
              </w:rPr>
              <w:t>submit</w:t>
            </w:r>
            <w:r w:rsidR="009E47BA">
              <w:rPr>
                <w:sz w:val="24"/>
              </w:rPr>
              <w:t xml:space="preserve"> the 2017 </w:t>
            </w:r>
            <w:r>
              <w:rPr>
                <w:sz w:val="24"/>
              </w:rPr>
              <w:t>a</w:t>
            </w:r>
            <w:r w:rsidR="009E47BA">
              <w:rPr>
                <w:sz w:val="24"/>
              </w:rPr>
              <w:t>nd 2018 990 &amp; CHAR 500</w:t>
            </w:r>
            <w:r>
              <w:rPr>
                <w:sz w:val="24"/>
              </w:rPr>
              <w:t xml:space="preserve">. </w:t>
            </w:r>
            <w:r w:rsidR="009E47BA">
              <w:rPr>
                <w:sz w:val="24"/>
              </w:rPr>
              <w:t>F</w:t>
            </w:r>
            <w:r w:rsidR="004E1CCB">
              <w:rPr>
                <w:sz w:val="24"/>
              </w:rPr>
              <w:t xml:space="preserve">reed </w:t>
            </w:r>
            <w:r w:rsidR="009E47BA">
              <w:rPr>
                <w:sz w:val="24"/>
              </w:rPr>
              <w:t>M</w:t>
            </w:r>
            <w:r w:rsidR="004E1CCB">
              <w:rPr>
                <w:sz w:val="24"/>
              </w:rPr>
              <w:t>axic</w:t>
            </w:r>
            <w:r w:rsidR="00A53136">
              <w:rPr>
                <w:sz w:val="24"/>
              </w:rPr>
              <w:t>k</w:t>
            </w:r>
            <w:r w:rsidR="009E47BA">
              <w:rPr>
                <w:sz w:val="24"/>
              </w:rPr>
              <w:t xml:space="preserve"> </w:t>
            </w:r>
            <w:r>
              <w:rPr>
                <w:sz w:val="24"/>
              </w:rPr>
              <w:t>filed for</w:t>
            </w:r>
            <w:r w:rsidR="009E47BA">
              <w:rPr>
                <w:sz w:val="24"/>
              </w:rPr>
              <w:t xml:space="preserve"> an extension</w:t>
            </w:r>
            <w:r>
              <w:rPr>
                <w:sz w:val="24"/>
              </w:rPr>
              <w:t>,</w:t>
            </w:r>
            <w:r w:rsidR="009E47BA">
              <w:rPr>
                <w:sz w:val="24"/>
              </w:rPr>
              <w:t xml:space="preserve"> which is </w:t>
            </w:r>
            <w:r>
              <w:rPr>
                <w:sz w:val="24"/>
              </w:rPr>
              <w:t>approaching</w:t>
            </w:r>
            <w:r w:rsidR="009E47BA">
              <w:rPr>
                <w:sz w:val="24"/>
              </w:rPr>
              <w:t xml:space="preserve"> on 6/15. </w:t>
            </w:r>
          </w:p>
          <w:p w14:paraId="60ADB9BE" w14:textId="77777777" w:rsidR="009E47BA" w:rsidRDefault="009E47BA" w:rsidP="009E47BA">
            <w:pPr>
              <w:pStyle w:val="TableParagraph"/>
              <w:spacing w:before="9"/>
              <w:ind w:left="150"/>
              <w:rPr>
                <w:sz w:val="24"/>
              </w:rPr>
            </w:pPr>
          </w:p>
          <w:p w14:paraId="74D989D8" w14:textId="295C4D51" w:rsidR="009E47BA" w:rsidRDefault="009E47BA" w:rsidP="009E47BA">
            <w:pPr>
              <w:pStyle w:val="TableParagraph"/>
              <w:spacing w:before="9"/>
              <w:ind w:left="150"/>
              <w:rPr>
                <w:sz w:val="24"/>
              </w:rPr>
            </w:pPr>
            <w:r>
              <w:rPr>
                <w:sz w:val="24"/>
              </w:rPr>
              <w:t xml:space="preserve">Sara </w:t>
            </w:r>
            <w:r w:rsidR="00EA25DC">
              <w:rPr>
                <w:sz w:val="24"/>
              </w:rPr>
              <w:t>suggested that an adjustment was regarding</w:t>
            </w:r>
            <w:r>
              <w:rPr>
                <w:sz w:val="24"/>
              </w:rPr>
              <w:t xml:space="preserve"> Kathy Carpenter </w:t>
            </w:r>
            <w:r w:rsidR="00EA25DC">
              <w:rPr>
                <w:sz w:val="24"/>
              </w:rPr>
              <w:t xml:space="preserve">being </w:t>
            </w:r>
            <w:r>
              <w:rPr>
                <w:sz w:val="24"/>
              </w:rPr>
              <w:t>listed as a NYSARH employee</w:t>
            </w:r>
            <w:r w:rsidR="00A53136">
              <w:rPr>
                <w:sz w:val="24"/>
              </w:rPr>
              <w:t xml:space="preserve"> in the 2017 990</w:t>
            </w:r>
            <w:r>
              <w:rPr>
                <w:sz w:val="24"/>
              </w:rPr>
              <w:t xml:space="preserve">.  Richard Kazel </w:t>
            </w:r>
            <w:r w:rsidR="00EA25DC">
              <w:rPr>
                <w:sz w:val="24"/>
              </w:rPr>
              <w:t xml:space="preserve">contacted Katie, via email, </w:t>
            </w:r>
            <w:r w:rsidR="00A53136">
              <w:rPr>
                <w:sz w:val="24"/>
              </w:rPr>
              <w:t>regarding this information</w:t>
            </w:r>
            <w:r>
              <w:rPr>
                <w:sz w:val="24"/>
              </w:rPr>
              <w:t xml:space="preserve">.  </w:t>
            </w:r>
          </w:p>
        </w:tc>
        <w:tc>
          <w:tcPr>
            <w:tcW w:w="4103" w:type="dxa"/>
          </w:tcPr>
          <w:p w14:paraId="588A0A1F" w14:textId="77777777" w:rsidR="0074028E" w:rsidRDefault="0074028E">
            <w:pPr>
              <w:pStyle w:val="TableParagraph"/>
            </w:pPr>
          </w:p>
        </w:tc>
        <w:tc>
          <w:tcPr>
            <w:tcW w:w="2287" w:type="dxa"/>
          </w:tcPr>
          <w:p w14:paraId="42B31B68" w14:textId="3A5A7D79" w:rsidR="0074028E" w:rsidRDefault="009E47BA" w:rsidP="004E1CCB">
            <w:pPr>
              <w:pStyle w:val="TableParagraph"/>
              <w:ind w:left="150"/>
            </w:pPr>
            <w:r>
              <w:t>K</w:t>
            </w:r>
            <w:r w:rsidR="00A53136">
              <w:t xml:space="preserve">atie </w:t>
            </w:r>
            <w:r>
              <w:t>R</w:t>
            </w:r>
            <w:r w:rsidR="00A53136">
              <w:t xml:space="preserve">afferty </w:t>
            </w:r>
            <w:r>
              <w:t>will</w:t>
            </w:r>
            <w:r w:rsidR="00EA25DC">
              <w:t xml:space="preserve"> follow-up with</w:t>
            </w:r>
            <w:r>
              <w:t xml:space="preserve"> Freed Maxick</w:t>
            </w:r>
            <w:r w:rsidR="00EA25DC">
              <w:t xml:space="preserve"> </w:t>
            </w:r>
            <w:r>
              <w:t xml:space="preserve">to </w:t>
            </w:r>
            <w:r w:rsidR="00A53136">
              <w:t>request</w:t>
            </w:r>
            <w:r>
              <w:t xml:space="preserve"> this adjustment</w:t>
            </w:r>
            <w:r w:rsidR="00A53136">
              <w:t xml:space="preserve"> and request more information about the 2018 CHAR 500 &amp; 990 extension</w:t>
            </w:r>
            <w:r>
              <w:t>.</w:t>
            </w:r>
          </w:p>
        </w:tc>
      </w:tr>
      <w:tr w:rsidR="0074028E" w14:paraId="20DD8D1D" w14:textId="77777777" w:rsidTr="00A53136">
        <w:trPr>
          <w:trHeight w:val="1434"/>
        </w:trPr>
        <w:tc>
          <w:tcPr>
            <w:tcW w:w="1980" w:type="dxa"/>
          </w:tcPr>
          <w:p w14:paraId="6B684C98" w14:textId="2BD6EC1F" w:rsidR="0074028E" w:rsidRDefault="0046316D">
            <w:pPr>
              <w:pStyle w:val="TableParagraph"/>
              <w:ind w:left="107"/>
              <w:rPr>
                <w:b/>
                <w:sz w:val="24"/>
              </w:rPr>
            </w:pPr>
            <w:r>
              <w:rPr>
                <w:b/>
                <w:sz w:val="24"/>
              </w:rPr>
              <w:lastRenderedPageBreak/>
              <w:t>2017 – 2018 Financial Binders</w:t>
            </w:r>
            <w:r>
              <w:rPr>
                <w:b/>
                <w:sz w:val="24"/>
              </w:rPr>
              <w:br/>
            </w:r>
            <w:r w:rsidRPr="0046316D">
              <w:rPr>
                <w:bCs/>
                <w:sz w:val="24"/>
              </w:rPr>
              <w:t>Katie Rafferty, Accounting Manager</w:t>
            </w:r>
          </w:p>
        </w:tc>
        <w:tc>
          <w:tcPr>
            <w:tcW w:w="6392" w:type="dxa"/>
          </w:tcPr>
          <w:p w14:paraId="331A1EF3" w14:textId="3451C042" w:rsidR="0074028E" w:rsidRDefault="009E47BA">
            <w:pPr>
              <w:pStyle w:val="TableParagraph"/>
              <w:spacing w:line="259" w:lineRule="auto"/>
              <w:ind w:left="108"/>
              <w:rPr>
                <w:sz w:val="24"/>
              </w:rPr>
            </w:pPr>
            <w:r>
              <w:rPr>
                <w:sz w:val="24"/>
              </w:rPr>
              <w:t xml:space="preserve">Katie has now organized all </w:t>
            </w:r>
            <w:r w:rsidR="005F6686">
              <w:rPr>
                <w:sz w:val="24"/>
              </w:rPr>
              <w:t xml:space="preserve">historical </w:t>
            </w:r>
            <w:r>
              <w:rPr>
                <w:sz w:val="24"/>
              </w:rPr>
              <w:t>paper documents that were received from Seven Valleys in</w:t>
            </w:r>
            <w:r w:rsidR="005F6686">
              <w:rPr>
                <w:sz w:val="24"/>
              </w:rPr>
              <w:t>to</w:t>
            </w:r>
            <w:r>
              <w:rPr>
                <w:sz w:val="24"/>
              </w:rPr>
              <w:t xml:space="preserve"> three</w:t>
            </w:r>
            <w:r w:rsidR="005F6686">
              <w:rPr>
                <w:sz w:val="24"/>
              </w:rPr>
              <w:t>-</w:t>
            </w:r>
            <w:r>
              <w:rPr>
                <w:sz w:val="24"/>
              </w:rPr>
              <w:t xml:space="preserve">ring binders.  NAHEC received boxes of materials that were </w:t>
            </w:r>
            <w:r w:rsidR="005F6686">
              <w:rPr>
                <w:sz w:val="24"/>
              </w:rPr>
              <w:t>un</w:t>
            </w:r>
            <w:r>
              <w:rPr>
                <w:sz w:val="24"/>
              </w:rPr>
              <w:t>sorted and not cataloged.  The information is now sorted out in appropriate</w:t>
            </w:r>
            <w:r w:rsidR="00A53136">
              <w:rPr>
                <w:sz w:val="24"/>
              </w:rPr>
              <w:t>ly</w:t>
            </w:r>
            <w:r w:rsidR="005F6686">
              <w:rPr>
                <w:sz w:val="24"/>
              </w:rPr>
              <w:t xml:space="preserve"> for easy access.</w:t>
            </w:r>
            <w:r>
              <w:rPr>
                <w:sz w:val="24"/>
              </w:rPr>
              <w:t xml:space="preserve"> </w:t>
            </w:r>
          </w:p>
        </w:tc>
        <w:tc>
          <w:tcPr>
            <w:tcW w:w="4103" w:type="dxa"/>
          </w:tcPr>
          <w:p w14:paraId="401D676B" w14:textId="21BCF491" w:rsidR="0074028E" w:rsidRDefault="0074028E">
            <w:pPr>
              <w:pStyle w:val="TableParagraph"/>
              <w:spacing w:line="259" w:lineRule="auto"/>
              <w:ind w:left="106" w:right="308"/>
              <w:rPr>
                <w:sz w:val="24"/>
              </w:rPr>
            </w:pPr>
          </w:p>
        </w:tc>
        <w:tc>
          <w:tcPr>
            <w:tcW w:w="2287" w:type="dxa"/>
          </w:tcPr>
          <w:p w14:paraId="43153D4D" w14:textId="77777777" w:rsidR="0074028E" w:rsidRDefault="0074028E" w:rsidP="004E1CCB">
            <w:pPr>
              <w:pStyle w:val="TableParagraph"/>
              <w:ind w:left="150"/>
            </w:pPr>
          </w:p>
        </w:tc>
      </w:tr>
      <w:tr w:rsidR="0046316D" w14:paraId="035465E3" w14:textId="77777777" w:rsidTr="00A53136">
        <w:trPr>
          <w:trHeight w:val="2042"/>
        </w:trPr>
        <w:tc>
          <w:tcPr>
            <w:tcW w:w="1980" w:type="dxa"/>
          </w:tcPr>
          <w:p w14:paraId="2F28234B" w14:textId="170BEEE2" w:rsidR="0046316D" w:rsidRDefault="0046316D">
            <w:pPr>
              <w:pStyle w:val="TableParagraph"/>
              <w:ind w:left="107"/>
              <w:rPr>
                <w:b/>
                <w:sz w:val="24"/>
              </w:rPr>
            </w:pPr>
            <w:r>
              <w:rPr>
                <w:b/>
                <w:sz w:val="24"/>
              </w:rPr>
              <w:t>2019 Financial Reporting Update</w:t>
            </w:r>
            <w:r>
              <w:rPr>
                <w:b/>
                <w:sz w:val="24"/>
              </w:rPr>
              <w:br/>
            </w:r>
            <w:r w:rsidRPr="0046316D">
              <w:rPr>
                <w:bCs/>
                <w:sz w:val="24"/>
              </w:rPr>
              <w:t>Katie Rafferty, Accounting Manager</w:t>
            </w:r>
          </w:p>
        </w:tc>
        <w:tc>
          <w:tcPr>
            <w:tcW w:w="6392" w:type="dxa"/>
          </w:tcPr>
          <w:p w14:paraId="31DECF83" w14:textId="1C61B9A6" w:rsidR="0046316D" w:rsidRDefault="009E47BA">
            <w:pPr>
              <w:pStyle w:val="TableParagraph"/>
              <w:spacing w:line="259" w:lineRule="auto"/>
              <w:ind w:left="108"/>
              <w:rPr>
                <w:sz w:val="24"/>
              </w:rPr>
            </w:pPr>
            <w:r>
              <w:rPr>
                <w:sz w:val="24"/>
              </w:rPr>
              <w:t xml:space="preserve">Katie is </w:t>
            </w:r>
            <w:r w:rsidR="00A53136">
              <w:rPr>
                <w:sz w:val="24"/>
              </w:rPr>
              <w:t xml:space="preserve">completing </w:t>
            </w:r>
            <w:r>
              <w:rPr>
                <w:sz w:val="24"/>
              </w:rPr>
              <w:t>2017 and 2018 Quick</w:t>
            </w:r>
            <w:r w:rsidR="00DA2EED">
              <w:rPr>
                <w:sz w:val="24"/>
              </w:rPr>
              <w:t>B</w:t>
            </w:r>
            <w:r>
              <w:rPr>
                <w:sz w:val="24"/>
              </w:rPr>
              <w:t>ooks work</w:t>
            </w:r>
            <w:r w:rsidR="005F6686">
              <w:rPr>
                <w:sz w:val="24"/>
              </w:rPr>
              <w:t xml:space="preserve"> presently</w:t>
            </w:r>
            <w:r>
              <w:rPr>
                <w:sz w:val="24"/>
              </w:rPr>
              <w:t>.  2019 Quick</w:t>
            </w:r>
            <w:r w:rsidR="00DA2EED">
              <w:rPr>
                <w:sz w:val="24"/>
              </w:rPr>
              <w:t>B</w:t>
            </w:r>
            <w:r>
              <w:rPr>
                <w:sz w:val="24"/>
              </w:rPr>
              <w:t>ooks work will be ready</w:t>
            </w:r>
            <w:r w:rsidR="005F6686">
              <w:rPr>
                <w:sz w:val="24"/>
              </w:rPr>
              <w:t xml:space="preserve"> for submission to the committees and board</w:t>
            </w:r>
            <w:r>
              <w:rPr>
                <w:sz w:val="24"/>
              </w:rPr>
              <w:t xml:space="preserve"> by the beginning of July.  Sara informed Katie that the Board </w:t>
            </w:r>
            <w:r w:rsidR="005F6686">
              <w:rPr>
                <w:sz w:val="24"/>
              </w:rPr>
              <w:t xml:space="preserve">is </w:t>
            </w:r>
            <w:r>
              <w:rPr>
                <w:sz w:val="24"/>
              </w:rPr>
              <w:t xml:space="preserve">meeting on </w:t>
            </w:r>
            <w:r w:rsidR="00A53136">
              <w:rPr>
                <w:sz w:val="24"/>
              </w:rPr>
              <w:t>July 23</w:t>
            </w:r>
            <w:r w:rsidR="00A53136" w:rsidRPr="00A53136">
              <w:rPr>
                <w:sz w:val="24"/>
                <w:vertAlign w:val="superscript"/>
              </w:rPr>
              <w:t>rd</w:t>
            </w:r>
            <w:r w:rsidR="00A53136">
              <w:rPr>
                <w:sz w:val="24"/>
              </w:rPr>
              <w:t xml:space="preserve"> </w:t>
            </w:r>
            <w:r>
              <w:rPr>
                <w:sz w:val="24"/>
              </w:rPr>
              <w:t xml:space="preserve">and </w:t>
            </w:r>
            <w:r w:rsidR="005F6686">
              <w:rPr>
                <w:sz w:val="24"/>
              </w:rPr>
              <w:t>requested reporting for July 16</w:t>
            </w:r>
            <w:r w:rsidR="005F6686" w:rsidRPr="005F6686">
              <w:rPr>
                <w:sz w:val="24"/>
                <w:vertAlign w:val="superscript"/>
              </w:rPr>
              <w:t>th</w:t>
            </w:r>
            <w:r w:rsidR="005F6686">
              <w:rPr>
                <w:sz w:val="24"/>
              </w:rPr>
              <w:t xml:space="preserve">. </w:t>
            </w:r>
          </w:p>
        </w:tc>
        <w:tc>
          <w:tcPr>
            <w:tcW w:w="4103" w:type="dxa"/>
          </w:tcPr>
          <w:p w14:paraId="4BCB9135" w14:textId="77777777" w:rsidR="0046316D" w:rsidRDefault="0046316D">
            <w:pPr>
              <w:pStyle w:val="TableParagraph"/>
              <w:spacing w:line="259" w:lineRule="auto"/>
              <w:ind w:left="106" w:right="308"/>
              <w:rPr>
                <w:sz w:val="24"/>
              </w:rPr>
            </w:pPr>
          </w:p>
        </w:tc>
        <w:tc>
          <w:tcPr>
            <w:tcW w:w="2287" w:type="dxa"/>
          </w:tcPr>
          <w:p w14:paraId="5B8E7612" w14:textId="737C1485" w:rsidR="0046316D" w:rsidRDefault="009E47BA" w:rsidP="004E1CCB">
            <w:pPr>
              <w:pStyle w:val="TableParagraph"/>
              <w:ind w:left="150"/>
            </w:pPr>
            <w:r>
              <w:t xml:space="preserve">Katie will send </w:t>
            </w:r>
            <w:r w:rsidR="00A53136">
              <w:t>2018 990</w:t>
            </w:r>
            <w:r w:rsidR="00161112">
              <w:t>,</w:t>
            </w:r>
            <w:r w:rsidR="00A53136">
              <w:t xml:space="preserve"> and Qu</w:t>
            </w:r>
            <w:r>
              <w:t xml:space="preserve">arter 1 and 2 </w:t>
            </w:r>
            <w:r w:rsidR="00A53136">
              <w:t>Financial Reporting for 2019 to Richard Kazel and Sara Bollinger as soon these documents are available, and then to the full Board.</w:t>
            </w:r>
            <w:r w:rsidR="004E1CCB">
              <w:t xml:space="preserve"> </w:t>
            </w:r>
          </w:p>
        </w:tc>
      </w:tr>
      <w:tr w:rsidR="0046316D" w14:paraId="5B67B857" w14:textId="77777777" w:rsidTr="00A53136">
        <w:trPr>
          <w:trHeight w:val="1776"/>
        </w:trPr>
        <w:tc>
          <w:tcPr>
            <w:tcW w:w="1980" w:type="dxa"/>
          </w:tcPr>
          <w:p w14:paraId="091A612F" w14:textId="49CD8D52" w:rsidR="0046316D" w:rsidRDefault="0046316D">
            <w:pPr>
              <w:pStyle w:val="TableParagraph"/>
              <w:ind w:left="107"/>
              <w:rPr>
                <w:b/>
                <w:sz w:val="24"/>
              </w:rPr>
            </w:pPr>
            <w:r>
              <w:rPr>
                <w:b/>
                <w:sz w:val="24"/>
              </w:rPr>
              <w:t>PayPal Processing Update</w:t>
            </w:r>
            <w:r>
              <w:rPr>
                <w:b/>
                <w:sz w:val="24"/>
              </w:rPr>
              <w:br/>
            </w:r>
            <w:r w:rsidRPr="0046316D">
              <w:rPr>
                <w:bCs/>
                <w:sz w:val="24"/>
              </w:rPr>
              <w:t>Katie Rafferty, Accounting Manager</w:t>
            </w:r>
          </w:p>
        </w:tc>
        <w:tc>
          <w:tcPr>
            <w:tcW w:w="6392" w:type="dxa"/>
          </w:tcPr>
          <w:p w14:paraId="540F0B6F" w14:textId="34740129" w:rsidR="0046316D" w:rsidRDefault="004E1CCB">
            <w:pPr>
              <w:pStyle w:val="TableParagraph"/>
              <w:spacing w:line="259" w:lineRule="auto"/>
              <w:ind w:left="108"/>
              <w:rPr>
                <w:sz w:val="24"/>
              </w:rPr>
            </w:pPr>
            <w:r>
              <w:rPr>
                <w:sz w:val="24"/>
              </w:rPr>
              <w:t xml:space="preserve">Katie confirmed that PayPal doesn’t have high usage at this time.  </w:t>
            </w:r>
            <w:r w:rsidR="006F70EF">
              <w:rPr>
                <w:sz w:val="24"/>
              </w:rPr>
              <w:t>Katie states that she is in close contact with HWNY for PayPal processing. Katie receives PayPal payment updates daily via email, and works with HWNY to get this information into the appropriate systems and portals.</w:t>
            </w:r>
          </w:p>
        </w:tc>
        <w:tc>
          <w:tcPr>
            <w:tcW w:w="4103" w:type="dxa"/>
          </w:tcPr>
          <w:p w14:paraId="6036867A" w14:textId="77777777" w:rsidR="0046316D" w:rsidRDefault="0046316D">
            <w:pPr>
              <w:pStyle w:val="TableParagraph"/>
              <w:spacing w:line="259" w:lineRule="auto"/>
              <w:ind w:left="106" w:right="308"/>
              <w:rPr>
                <w:sz w:val="24"/>
              </w:rPr>
            </w:pPr>
          </w:p>
        </w:tc>
        <w:tc>
          <w:tcPr>
            <w:tcW w:w="2287" w:type="dxa"/>
          </w:tcPr>
          <w:p w14:paraId="26D1D867" w14:textId="77777777" w:rsidR="0046316D" w:rsidRDefault="0046316D" w:rsidP="004E1CCB">
            <w:pPr>
              <w:pStyle w:val="TableParagraph"/>
              <w:ind w:left="150"/>
            </w:pPr>
          </w:p>
        </w:tc>
      </w:tr>
      <w:tr w:rsidR="0046316D" w14:paraId="00841DCD" w14:textId="77777777" w:rsidTr="00A53136">
        <w:trPr>
          <w:trHeight w:val="2042"/>
        </w:trPr>
        <w:tc>
          <w:tcPr>
            <w:tcW w:w="1980" w:type="dxa"/>
          </w:tcPr>
          <w:p w14:paraId="4147EDDE" w14:textId="6DB366D1" w:rsidR="0046316D" w:rsidRDefault="0046316D">
            <w:pPr>
              <w:pStyle w:val="TableParagraph"/>
              <w:ind w:left="107"/>
              <w:rPr>
                <w:b/>
                <w:sz w:val="24"/>
              </w:rPr>
            </w:pPr>
            <w:r>
              <w:rPr>
                <w:b/>
                <w:sz w:val="24"/>
              </w:rPr>
              <w:t>Current NYSARH Vendors Bills</w:t>
            </w:r>
            <w:r w:rsidRPr="0046316D">
              <w:rPr>
                <w:bCs/>
                <w:sz w:val="24"/>
              </w:rPr>
              <w:t xml:space="preserve"> Katie Rafferty, Accounting Manager</w:t>
            </w:r>
          </w:p>
        </w:tc>
        <w:tc>
          <w:tcPr>
            <w:tcW w:w="6392" w:type="dxa"/>
          </w:tcPr>
          <w:p w14:paraId="7F7D2786" w14:textId="7012634B" w:rsidR="0046316D" w:rsidRDefault="004E1CCB">
            <w:pPr>
              <w:pStyle w:val="TableParagraph"/>
              <w:spacing w:line="259" w:lineRule="auto"/>
              <w:ind w:left="108"/>
              <w:rPr>
                <w:sz w:val="24"/>
              </w:rPr>
            </w:pPr>
            <w:r>
              <w:rPr>
                <w:sz w:val="24"/>
              </w:rPr>
              <w:t>Payments for Sara Bollinger, Freed Maxick,</w:t>
            </w:r>
            <w:r w:rsidR="00BB1542">
              <w:rPr>
                <w:sz w:val="24"/>
              </w:rPr>
              <w:t xml:space="preserve"> HWNY, and a reimbursement</w:t>
            </w:r>
            <w:r>
              <w:rPr>
                <w:sz w:val="24"/>
              </w:rPr>
              <w:t xml:space="preserve"> Derrick Chrisler</w:t>
            </w:r>
            <w:r w:rsidR="00BB1542">
              <w:rPr>
                <w:sz w:val="24"/>
              </w:rPr>
              <w:t xml:space="preserve"> </w:t>
            </w:r>
            <w:r>
              <w:rPr>
                <w:sz w:val="24"/>
              </w:rPr>
              <w:t>are in process and will be signed on Wednesday</w:t>
            </w:r>
            <w:r w:rsidR="00A53136">
              <w:rPr>
                <w:sz w:val="24"/>
              </w:rPr>
              <w:t xml:space="preserve"> by Richard Merchant.  Richa</w:t>
            </w:r>
            <w:r w:rsidR="00BB1542">
              <w:rPr>
                <w:sz w:val="24"/>
              </w:rPr>
              <w:t>rd Kazel confirmed that it would be appropriate, given travel status, that Richard Merchant, NYSARH President, signs checks for the time being.</w:t>
            </w:r>
          </w:p>
        </w:tc>
        <w:tc>
          <w:tcPr>
            <w:tcW w:w="4103" w:type="dxa"/>
          </w:tcPr>
          <w:p w14:paraId="7F6243A0" w14:textId="58E4EABE" w:rsidR="0046316D" w:rsidRDefault="004E1CCB">
            <w:pPr>
              <w:pStyle w:val="TableParagraph"/>
              <w:spacing w:line="259" w:lineRule="auto"/>
              <w:ind w:left="106" w:right="308"/>
              <w:rPr>
                <w:sz w:val="24"/>
              </w:rPr>
            </w:pPr>
            <w:r>
              <w:rPr>
                <w:sz w:val="24"/>
              </w:rPr>
              <w:t xml:space="preserve">Richard Merchant commented that as things transition, </w:t>
            </w:r>
            <w:r w:rsidR="00A53136">
              <w:rPr>
                <w:sz w:val="24"/>
              </w:rPr>
              <w:t xml:space="preserve">there will be some </w:t>
            </w:r>
            <w:r>
              <w:rPr>
                <w:sz w:val="24"/>
              </w:rPr>
              <w:t xml:space="preserve">potentially new vendors </w:t>
            </w:r>
            <w:r w:rsidR="00BB1542">
              <w:rPr>
                <w:sz w:val="24"/>
              </w:rPr>
              <w:t>starting July 1</w:t>
            </w:r>
            <w:r>
              <w:rPr>
                <w:sz w:val="24"/>
              </w:rPr>
              <w:t>, everything will be ready to be handed off to the new financial manager for NYSARH</w:t>
            </w:r>
            <w:r w:rsidR="00BB1542">
              <w:rPr>
                <w:sz w:val="24"/>
              </w:rPr>
              <w:t>, including 2017, 2018, and updated 2019 financial reporting</w:t>
            </w:r>
            <w:r>
              <w:rPr>
                <w:sz w:val="24"/>
              </w:rPr>
              <w:t xml:space="preserve">. </w:t>
            </w:r>
            <w:r>
              <w:rPr>
                <w:sz w:val="24"/>
              </w:rPr>
              <w:br/>
              <w:t>Richard Kazel confirmed that smooth transition is what the Board is wanting NAHEC to ensure.</w:t>
            </w:r>
          </w:p>
        </w:tc>
        <w:tc>
          <w:tcPr>
            <w:tcW w:w="2287" w:type="dxa"/>
          </w:tcPr>
          <w:p w14:paraId="49CB30FB" w14:textId="77777777" w:rsidR="0046316D" w:rsidRDefault="004E1CCB" w:rsidP="004E1CCB">
            <w:pPr>
              <w:pStyle w:val="TableParagraph"/>
              <w:ind w:left="150"/>
            </w:pPr>
            <w:r>
              <w:t>Karin and Katie will make sure that Richard will sign these checks on Wednesday, June 12</w:t>
            </w:r>
            <w:r w:rsidRPr="004E1CCB">
              <w:rPr>
                <w:vertAlign w:val="superscript"/>
              </w:rPr>
              <w:t>th</w:t>
            </w:r>
            <w:r>
              <w:t>.</w:t>
            </w:r>
          </w:p>
          <w:p w14:paraId="3B5F15DD" w14:textId="77777777" w:rsidR="00A53136" w:rsidRDefault="00A53136" w:rsidP="004E1CCB">
            <w:pPr>
              <w:pStyle w:val="TableParagraph"/>
              <w:ind w:left="150"/>
            </w:pPr>
          </w:p>
          <w:p w14:paraId="77C94C61" w14:textId="50F794DF" w:rsidR="00A53136" w:rsidRDefault="00A53136" w:rsidP="004E1CCB">
            <w:pPr>
              <w:pStyle w:val="TableParagraph"/>
              <w:ind w:left="150"/>
            </w:pPr>
            <w:r>
              <w:t xml:space="preserve">Katie will have files and financials </w:t>
            </w:r>
            <w:r w:rsidR="00BB1542">
              <w:t>complete</w:t>
            </w:r>
            <w:r>
              <w:t xml:space="preserve"> for a smooth transition.</w:t>
            </w:r>
          </w:p>
        </w:tc>
      </w:tr>
      <w:tr w:rsidR="0046316D" w14:paraId="77409294" w14:textId="77777777" w:rsidTr="00A53136">
        <w:trPr>
          <w:trHeight w:val="1272"/>
        </w:trPr>
        <w:tc>
          <w:tcPr>
            <w:tcW w:w="1980" w:type="dxa"/>
          </w:tcPr>
          <w:p w14:paraId="7949E591" w14:textId="2D950176" w:rsidR="0046316D" w:rsidRDefault="0046316D">
            <w:pPr>
              <w:pStyle w:val="TableParagraph"/>
              <w:ind w:left="107"/>
              <w:rPr>
                <w:b/>
                <w:sz w:val="24"/>
              </w:rPr>
            </w:pPr>
            <w:r>
              <w:rPr>
                <w:b/>
                <w:sz w:val="24"/>
              </w:rPr>
              <w:t>Adjourn</w:t>
            </w:r>
            <w:r>
              <w:rPr>
                <w:b/>
                <w:sz w:val="24"/>
              </w:rPr>
              <w:br/>
            </w:r>
            <w:r w:rsidRPr="0046316D">
              <w:rPr>
                <w:bCs/>
                <w:sz w:val="24"/>
              </w:rPr>
              <w:t>Richard Kazel, Finance Committee Chair</w:t>
            </w:r>
          </w:p>
        </w:tc>
        <w:tc>
          <w:tcPr>
            <w:tcW w:w="6392" w:type="dxa"/>
          </w:tcPr>
          <w:p w14:paraId="22F8E3A3" w14:textId="6987CB9D" w:rsidR="0046316D" w:rsidRDefault="004E1CCB">
            <w:pPr>
              <w:pStyle w:val="TableParagraph"/>
              <w:spacing w:line="259" w:lineRule="auto"/>
              <w:ind w:left="108"/>
              <w:rPr>
                <w:sz w:val="24"/>
              </w:rPr>
            </w:pPr>
            <w:r>
              <w:rPr>
                <w:sz w:val="24"/>
              </w:rPr>
              <w:t>Motion to adjourn at 2:48pm.</w:t>
            </w:r>
            <w:r>
              <w:rPr>
                <w:sz w:val="24"/>
              </w:rPr>
              <w:br/>
              <w:t>(M. Pease/R. Merchant)</w:t>
            </w:r>
          </w:p>
        </w:tc>
        <w:tc>
          <w:tcPr>
            <w:tcW w:w="4103" w:type="dxa"/>
          </w:tcPr>
          <w:p w14:paraId="4141B6B6" w14:textId="77777777" w:rsidR="0046316D" w:rsidRDefault="0046316D">
            <w:pPr>
              <w:pStyle w:val="TableParagraph"/>
              <w:spacing w:line="259" w:lineRule="auto"/>
              <w:ind w:left="106" w:right="308"/>
              <w:rPr>
                <w:sz w:val="24"/>
              </w:rPr>
            </w:pPr>
          </w:p>
        </w:tc>
        <w:tc>
          <w:tcPr>
            <w:tcW w:w="2287" w:type="dxa"/>
          </w:tcPr>
          <w:p w14:paraId="110B3D6F" w14:textId="77777777" w:rsidR="0046316D" w:rsidRDefault="0046316D" w:rsidP="004E1CCB">
            <w:pPr>
              <w:pStyle w:val="TableParagraph"/>
              <w:ind w:left="150"/>
            </w:pPr>
          </w:p>
        </w:tc>
      </w:tr>
    </w:tbl>
    <w:p w14:paraId="247ECA24" w14:textId="77777777" w:rsidR="0074028E" w:rsidRDefault="0074028E"/>
    <w:p w14:paraId="1C886201" w14:textId="77777777" w:rsidR="00BC6565" w:rsidRDefault="00BC6565"/>
    <w:p w14:paraId="239381FD" w14:textId="21B94085" w:rsidR="0074028E" w:rsidRDefault="00BC6565" w:rsidP="00BC6565">
      <w:r w:rsidRPr="00BC6565">
        <w:rPr>
          <w:b/>
          <w:bCs/>
          <w:i/>
          <w:iCs/>
        </w:rPr>
        <w:t>Respectfully submitted by Karin Blackburn, June 10, 2019.</w:t>
      </w:r>
    </w:p>
    <w:sectPr w:rsidR="0074028E">
      <w:pgSz w:w="15840" w:h="12240" w:orient="landscape"/>
      <w:pgMar w:top="4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20E8"/>
    <w:multiLevelType w:val="hybridMultilevel"/>
    <w:tmpl w:val="1E10C23E"/>
    <w:lvl w:ilvl="0" w:tplc="4888FA2E">
      <w:numFmt w:val="bullet"/>
      <w:lvlText w:val=""/>
      <w:lvlJc w:val="left"/>
      <w:pPr>
        <w:ind w:left="468" w:hanging="360"/>
      </w:pPr>
      <w:rPr>
        <w:rFonts w:ascii="Symbol" w:eastAsia="Symbol" w:hAnsi="Symbol" w:cs="Symbol" w:hint="default"/>
        <w:w w:val="100"/>
        <w:sz w:val="24"/>
        <w:szCs w:val="24"/>
        <w:lang w:val="en-US" w:eastAsia="en-US" w:bidi="en-US"/>
      </w:rPr>
    </w:lvl>
    <w:lvl w:ilvl="1" w:tplc="3CCCE7BA">
      <w:numFmt w:val="bullet"/>
      <w:lvlText w:val="•"/>
      <w:lvlJc w:val="left"/>
      <w:pPr>
        <w:ind w:left="1180" w:hanging="360"/>
      </w:pPr>
      <w:rPr>
        <w:rFonts w:hint="default"/>
        <w:lang w:val="en-US" w:eastAsia="en-US" w:bidi="en-US"/>
      </w:rPr>
    </w:lvl>
    <w:lvl w:ilvl="2" w:tplc="56904514">
      <w:numFmt w:val="bullet"/>
      <w:lvlText w:val="•"/>
      <w:lvlJc w:val="left"/>
      <w:pPr>
        <w:ind w:left="1758" w:hanging="360"/>
      </w:pPr>
      <w:rPr>
        <w:rFonts w:hint="default"/>
        <w:lang w:val="en-US" w:eastAsia="en-US" w:bidi="en-US"/>
      </w:rPr>
    </w:lvl>
    <w:lvl w:ilvl="3" w:tplc="5BF09E04">
      <w:numFmt w:val="bullet"/>
      <w:lvlText w:val="•"/>
      <w:lvlJc w:val="left"/>
      <w:pPr>
        <w:ind w:left="2336" w:hanging="360"/>
      </w:pPr>
      <w:rPr>
        <w:rFonts w:hint="default"/>
        <w:lang w:val="en-US" w:eastAsia="en-US" w:bidi="en-US"/>
      </w:rPr>
    </w:lvl>
    <w:lvl w:ilvl="4" w:tplc="875C3480">
      <w:numFmt w:val="bullet"/>
      <w:lvlText w:val="•"/>
      <w:lvlJc w:val="left"/>
      <w:pPr>
        <w:ind w:left="2914" w:hanging="360"/>
      </w:pPr>
      <w:rPr>
        <w:rFonts w:hint="default"/>
        <w:lang w:val="en-US" w:eastAsia="en-US" w:bidi="en-US"/>
      </w:rPr>
    </w:lvl>
    <w:lvl w:ilvl="5" w:tplc="7A348A8C">
      <w:numFmt w:val="bullet"/>
      <w:lvlText w:val="•"/>
      <w:lvlJc w:val="left"/>
      <w:pPr>
        <w:ind w:left="3492" w:hanging="360"/>
      </w:pPr>
      <w:rPr>
        <w:rFonts w:hint="default"/>
        <w:lang w:val="en-US" w:eastAsia="en-US" w:bidi="en-US"/>
      </w:rPr>
    </w:lvl>
    <w:lvl w:ilvl="6" w:tplc="845ADC6C">
      <w:numFmt w:val="bullet"/>
      <w:lvlText w:val="•"/>
      <w:lvlJc w:val="left"/>
      <w:pPr>
        <w:ind w:left="4070" w:hanging="360"/>
      </w:pPr>
      <w:rPr>
        <w:rFonts w:hint="default"/>
        <w:lang w:val="en-US" w:eastAsia="en-US" w:bidi="en-US"/>
      </w:rPr>
    </w:lvl>
    <w:lvl w:ilvl="7" w:tplc="A10CD2E8">
      <w:numFmt w:val="bullet"/>
      <w:lvlText w:val="•"/>
      <w:lvlJc w:val="left"/>
      <w:pPr>
        <w:ind w:left="4648" w:hanging="360"/>
      </w:pPr>
      <w:rPr>
        <w:rFonts w:hint="default"/>
        <w:lang w:val="en-US" w:eastAsia="en-US" w:bidi="en-US"/>
      </w:rPr>
    </w:lvl>
    <w:lvl w:ilvl="8" w:tplc="B9D4ABFE">
      <w:numFmt w:val="bullet"/>
      <w:lvlText w:val="•"/>
      <w:lvlJc w:val="left"/>
      <w:pPr>
        <w:ind w:left="5226" w:hanging="360"/>
      </w:pPr>
      <w:rPr>
        <w:rFonts w:hint="default"/>
        <w:lang w:val="en-US" w:eastAsia="en-US" w:bidi="en-US"/>
      </w:rPr>
    </w:lvl>
  </w:abstractNum>
  <w:abstractNum w:abstractNumId="1" w15:restartNumberingAfterBreak="0">
    <w:nsid w:val="6EA915A7"/>
    <w:multiLevelType w:val="hybridMultilevel"/>
    <w:tmpl w:val="B100BE2E"/>
    <w:lvl w:ilvl="0" w:tplc="77CC6748">
      <w:start w:val="1"/>
      <w:numFmt w:val="decimal"/>
      <w:lvlText w:val="%1."/>
      <w:lvlJc w:val="left"/>
      <w:pPr>
        <w:ind w:left="468" w:hanging="360"/>
        <w:jc w:val="left"/>
      </w:pPr>
      <w:rPr>
        <w:rFonts w:ascii="Times New Roman" w:eastAsia="Times New Roman" w:hAnsi="Times New Roman" w:cs="Times New Roman" w:hint="default"/>
        <w:spacing w:val="-5"/>
        <w:w w:val="99"/>
        <w:sz w:val="24"/>
        <w:szCs w:val="24"/>
        <w:lang w:val="en-US" w:eastAsia="en-US" w:bidi="en-US"/>
      </w:rPr>
    </w:lvl>
    <w:lvl w:ilvl="1" w:tplc="AEC08D90">
      <w:numFmt w:val="bullet"/>
      <w:lvlText w:val="•"/>
      <w:lvlJc w:val="left"/>
      <w:pPr>
        <w:ind w:left="1052" w:hanging="360"/>
      </w:pPr>
      <w:rPr>
        <w:rFonts w:hint="default"/>
        <w:lang w:val="en-US" w:eastAsia="en-US" w:bidi="en-US"/>
      </w:rPr>
    </w:lvl>
    <w:lvl w:ilvl="2" w:tplc="5DA4F280">
      <w:numFmt w:val="bullet"/>
      <w:lvlText w:val="•"/>
      <w:lvlJc w:val="left"/>
      <w:pPr>
        <w:ind w:left="1644" w:hanging="360"/>
      </w:pPr>
      <w:rPr>
        <w:rFonts w:hint="default"/>
        <w:lang w:val="en-US" w:eastAsia="en-US" w:bidi="en-US"/>
      </w:rPr>
    </w:lvl>
    <w:lvl w:ilvl="3" w:tplc="A9B04FE8">
      <w:numFmt w:val="bullet"/>
      <w:lvlText w:val="•"/>
      <w:lvlJc w:val="left"/>
      <w:pPr>
        <w:ind w:left="2236" w:hanging="360"/>
      </w:pPr>
      <w:rPr>
        <w:rFonts w:hint="default"/>
        <w:lang w:val="en-US" w:eastAsia="en-US" w:bidi="en-US"/>
      </w:rPr>
    </w:lvl>
    <w:lvl w:ilvl="4" w:tplc="C6484000">
      <w:numFmt w:val="bullet"/>
      <w:lvlText w:val="•"/>
      <w:lvlJc w:val="left"/>
      <w:pPr>
        <w:ind w:left="2828" w:hanging="360"/>
      </w:pPr>
      <w:rPr>
        <w:rFonts w:hint="default"/>
        <w:lang w:val="en-US" w:eastAsia="en-US" w:bidi="en-US"/>
      </w:rPr>
    </w:lvl>
    <w:lvl w:ilvl="5" w:tplc="CE7643FE">
      <w:numFmt w:val="bullet"/>
      <w:lvlText w:val="•"/>
      <w:lvlJc w:val="left"/>
      <w:pPr>
        <w:ind w:left="3421" w:hanging="360"/>
      </w:pPr>
      <w:rPr>
        <w:rFonts w:hint="default"/>
        <w:lang w:val="en-US" w:eastAsia="en-US" w:bidi="en-US"/>
      </w:rPr>
    </w:lvl>
    <w:lvl w:ilvl="6" w:tplc="BBEE517C">
      <w:numFmt w:val="bullet"/>
      <w:lvlText w:val="•"/>
      <w:lvlJc w:val="left"/>
      <w:pPr>
        <w:ind w:left="4013" w:hanging="360"/>
      </w:pPr>
      <w:rPr>
        <w:rFonts w:hint="default"/>
        <w:lang w:val="en-US" w:eastAsia="en-US" w:bidi="en-US"/>
      </w:rPr>
    </w:lvl>
    <w:lvl w:ilvl="7" w:tplc="80D4E87C">
      <w:numFmt w:val="bullet"/>
      <w:lvlText w:val="•"/>
      <w:lvlJc w:val="left"/>
      <w:pPr>
        <w:ind w:left="4605" w:hanging="360"/>
      </w:pPr>
      <w:rPr>
        <w:rFonts w:hint="default"/>
        <w:lang w:val="en-US" w:eastAsia="en-US" w:bidi="en-US"/>
      </w:rPr>
    </w:lvl>
    <w:lvl w:ilvl="8" w:tplc="8D5C9124">
      <w:numFmt w:val="bullet"/>
      <w:lvlText w:val="•"/>
      <w:lvlJc w:val="left"/>
      <w:pPr>
        <w:ind w:left="519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8E"/>
    <w:rsid w:val="000441CA"/>
    <w:rsid w:val="00161112"/>
    <w:rsid w:val="001B10DD"/>
    <w:rsid w:val="001F16AC"/>
    <w:rsid w:val="0046316D"/>
    <w:rsid w:val="004E1CCB"/>
    <w:rsid w:val="005F6686"/>
    <w:rsid w:val="00680E90"/>
    <w:rsid w:val="006F70EF"/>
    <w:rsid w:val="00721093"/>
    <w:rsid w:val="0074028E"/>
    <w:rsid w:val="00762C24"/>
    <w:rsid w:val="007C79A7"/>
    <w:rsid w:val="009E47BA"/>
    <w:rsid w:val="00A53136"/>
    <w:rsid w:val="00AC3A3B"/>
    <w:rsid w:val="00B94ED4"/>
    <w:rsid w:val="00BA701D"/>
    <w:rsid w:val="00BB1542"/>
    <w:rsid w:val="00BC6565"/>
    <w:rsid w:val="00C152AA"/>
    <w:rsid w:val="00D456C8"/>
    <w:rsid w:val="00DA2EED"/>
    <w:rsid w:val="00DD4715"/>
    <w:rsid w:val="00E026D9"/>
    <w:rsid w:val="00EA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1CF5"/>
  <w15:docId w15:val="{3CAD61CE-4141-478C-A6D4-C2100C5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Yates County Public Health</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County Public Health</dc:title>
  <dc:creator>Brinn</dc:creator>
  <cp:lastModifiedBy>Sara Wall-Bollinger</cp:lastModifiedBy>
  <cp:revision>3</cp:revision>
  <cp:lastPrinted>2019-06-10T19:05:00Z</cp:lastPrinted>
  <dcterms:created xsi:type="dcterms:W3CDTF">2019-06-10T20:28:00Z</dcterms:created>
  <dcterms:modified xsi:type="dcterms:W3CDTF">2019-06-10T20:29:00Z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Office Word 2007</vt:lpwstr>
  </property>
  <property fmtid="{D5CDD505-2E9C-101B-9397-08002B2CF9AE}" pid="4" name="LastSaved">
    <vt:filetime>2017-12-14T00:00:00Z</vt:filetime>
  </property>
</Properties>
</file>