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699C" w14:textId="4F7AE0C5" w:rsidR="00AF3F61" w:rsidRPr="00E65BC1" w:rsidRDefault="00E65BC1" w:rsidP="00E65BC1">
      <w:pPr>
        <w:spacing w:after="0"/>
        <w:jc w:val="right"/>
        <w:rPr>
          <w:rFonts w:ascii="Cambria" w:hAnsi="Cambria"/>
          <w:sz w:val="24"/>
          <w:szCs w:val="24"/>
        </w:rPr>
      </w:pPr>
      <w:r w:rsidRPr="00E65BC1">
        <w:rPr>
          <w:rFonts w:ascii="Cambria" w:hAnsi="Cambria"/>
          <w:noProof/>
          <w:sz w:val="24"/>
          <w:szCs w:val="24"/>
        </w:rPr>
        <w:drawing>
          <wp:anchor distT="0" distB="0" distL="114300" distR="114300" simplePos="0" relativeHeight="251658240" behindDoc="1" locked="0" layoutInCell="1" allowOverlap="1" wp14:anchorId="19FDB5FD" wp14:editId="444F4224">
            <wp:simplePos x="0" y="0"/>
            <wp:positionH relativeFrom="column">
              <wp:posOffset>0</wp:posOffset>
            </wp:positionH>
            <wp:positionV relativeFrom="paragraph">
              <wp:posOffset>0</wp:posOffset>
            </wp:positionV>
            <wp:extent cx="1438781" cy="695004"/>
            <wp:effectExtent l="0" t="0" r="0" b="0"/>
            <wp:wrapTight wrapText="bothSides">
              <wp:wrapPolygon edited="0">
                <wp:start x="0" y="0"/>
                <wp:lineTo x="0" y="20731"/>
                <wp:lineTo x="21171" y="20731"/>
                <wp:lineTo x="2117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14:sizeRelH relativeFrom="page">
              <wp14:pctWidth>0</wp14:pctWidth>
            </wp14:sizeRelH>
            <wp14:sizeRelV relativeFrom="page">
              <wp14:pctHeight>0</wp14:pctHeight>
            </wp14:sizeRelV>
          </wp:anchor>
        </w:drawing>
      </w:r>
      <w:hyperlink r:id="rId8" w:history="1">
        <w:r w:rsidRPr="00E65BC1">
          <w:rPr>
            <w:rStyle w:val="Hyperlink"/>
            <w:rFonts w:ascii="Cambria" w:hAnsi="Cambria"/>
            <w:color w:val="auto"/>
            <w:sz w:val="24"/>
            <w:szCs w:val="24"/>
            <w:u w:val="none"/>
          </w:rPr>
          <w:t>www.NYSARH.org</w:t>
        </w:r>
      </w:hyperlink>
    </w:p>
    <w:p w14:paraId="4E9D032A" w14:textId="00D4FE4E" w:rsidR="00E65BC1" w:rsidRPr="00E65BC1" w:rsidRDefault="00B915A6" w:rsidP="00E65BC1">
      <w:pPr>
        <w:spacing w:after="0"/>
        <w:jc w:val="right"/>
        <w:rPr>
          <w:rFonts w:ascii="Cambria" w:hAnsi="Cambria"/>
          <w:sz w:val="24"/>
          <w:szCs w:val="24"/>
        </w:rPr>
      </w:pPr>
      <w:hyperlink r:id="rId9" w:history="1">
        <w:r w:rsidR="00E65BC1" w:rsidRPr="00E65BC1">
          <w:rPr>
            <w:rStyle w:val="Hyperlink"/>
            <w:rFonts w:ascii="Cambria" w:hAnsi="Cambria"/>
            <w:color w:val="auto"/>
            <w:sz w:val="24"/>
            <w:szCs w:val="24"/>
            <w:u w:val="none"/>
          </w:rPr>
          <w:t>Info@nysarh.org</w:t>
        </w:r>
      </w:hyperlink>
    </w:p>
    <w:p w14:paraId="30A73477" w14:textId="4531486A" w:rsidR="00E65BC1" w:rsidRDefault="00E65BC1" w:rsidP="00E65BC1">
      <w:pPr>
        <w:spacing w:after="0"/>
        <w:jc w:val="right"/>
        <w:rPr>
          <w:rFonts w:ascii="Cambria" w:hAnsi="Cambria"/>
          <w:sz w:val="24"/>
          <w:szCs w:val="24"/>
        </w:rPr>
      </w:pPr>
      <w:r w:rsidRPr="00E65BC1">
        <w:rPr>
          <w:rFonts w:ascii="Cambria" w:hAnsi="Cambria"/>
          <w:sz w:val="24"/>
          <w:szCs w:val="24"/>
        </w:rPr>
        <w:t>315-379-7701</w:t>
      </w:r>
    </w:p>
    <w:p w14:paraId="0EB3E5C6" w14:textId="2682998C" w:rsidR="00E65BC1" w:rsidRDefault="00E65BC1" w:rsidP="00E65BC1">
      <w:pPr>
        <w:spacing w:after="0"/>
        <w:jc w:val="right"/>
        <w:rPr>
          <w:rFonts w:ascii="Cambria" w:hAnsi="Cambria"/>
          <w:sz w:val="24"/>
          <w:szCs w:val="24"/>
        </w:rPr>
      </w:pPr>
    </w:p>
    <w:p w14:paraId="1B8FD0D6" w14:textId="77777777" w:rsidR="004E4B98" w:rsidRDefault="004E4B98" w:rsidP="00E65BC1">
      <w:pPr>
        <w:spacing w:after="0"/>
        <w:jc w:val="center"/>
        <w:rPr>
          <w:rFonts w:ascii="Cambria" w:hAnsi="Cambria"/>
          <w:b/>
          <w:bCs/>
          <w:sz w:val="28"/>
          <w:szCs w:val="28"/>
        </w:rPr>
      </w:pPr>
    </w:p>
    <w:p w14:paraId="1CE182B7" w14:textId="78D196B7" w:rsidR="00E65BC1" w:rsidRPr="004E4B98" w:rsidRDefault="00E65BC1" w:rsidP="00E65BC1">
      <w:pPr>
        <w:spacing w:after="0"/>
        <w:jc w:val="center"/>
        <w:rPr>
          <w:rFonts w:ascii="Cambria" w:hAnsi="Cambria"/>
          <w:b/>
          <w:bCs/>
          <w:sz w:val="28"/>
          <w:szCs w:val="28"/>
        </w:rPr>
      </w:pPr>
      <w:r w:rsidRPr="004E4B98">
        <w:rPr>
          <w:rFonts w:ascii="Cambria" w:hAnsi="Cambria"/>
          <w:b/>
          <w:bCs/>
          <w:sz w:val="28"/>
          <w:szCs w:val="28"/>
        </w:rPr>
        <w:t>NYSARH 2021 Legislative Priorities</w:t>
      </w:r>
    </w:p>
    <w:p w14:paraId="0A9975E7" w14:textId="3C4CE5BA" w:rsidR="00E65BC1" w:rsidRDefault="00E65BC1" w:rsidP="00E65BC1">
      <w:pPr>
        <w:spacing w:after="0"/>
        <w:jc w:val="center"/>
        <w:rPr>
          <w:rFonts w:ascii="Cambria" w:hAnsi="Cambria"/>
          <w:sz w:val="28"/>
          <w:szCs w:val="28"/>
        </w:rPr>
      </w:pPr>
    </w:p>
    <w:p w14:paraId="675B6A0D" w14:textId="57B339A5" w:rsidR="00ED25FB" w:rsidRPr="004E4B98" w:rsidRDefault="00ED25FB" w:rsidP="00ED25FB">
      <w:pPr>
        <w:pStyle w:val="ListParagraph"/>
        <w:numPr>
          <w:ilvl w:val="0"/>
          <w:numId w:val="1"/>
        </w:numPr>
        <w:spacing w:after="0"/>
        <w:rPr>
          <w:rFonts w:ascii="Cambria" w:hAnsi="Cambria"/>
          <w:b/>
          <w:bCs/>
          <w:sz w:val="24"/>
          <w:szCs w:val="24"/>
        </w:rPr>
      </w:pPr>
      <w:r w:rsidRPr="004E4B98">
        <w:rPr>
          <w:rFonts w:ascii="Cambria" w:hAnsi="Cambria"/>
          <w:b/>
          <w:bCs/>
          <w:sz w:val="24"/>
          <w:szCs w:val="24"/>
        </w:rPr>
        <w:t>Fund Rural Health Networks and Rural Access Hospitals</w:t>
      </w:r>
    </w:p>
    <w:p w14:paraId="20C90EBE" w14:textId="7AAFC909" w:rsidR="004E4B98" w:rsidRPr="00E70B15" w:rsidRDefault="004E4B98" w:rsidP="00804DAA">
      <w:pPr>
        <w:pStyle w:val="ListParagraph"/>
        <w:numPr>
          <w:ilvl w:val="1"/>
          <w:numId w:val="1"/>
        </w:numPr>
        <w:spacing w:after="0"/>
        <w:rPr>
          <w:rFonts w:ascii="Cambria" w:hAnsi="Cambria"/>
          <w:sz w:val="24"/>
          <w:szCs w:val="24"/>
        </w:rPr>
      </w:pPr>
      <w:r w:rsidRPr="004E4B98">
        <w:rPr>
          <w:rFonts w:ascii="Cambria" w:hAnsi="Cambria"/>
          <w:sz w:val="24"/>
          <w:szCs w:val="24"/>
        </w:rPr>
        <w:t xml:space="preserve">Reject </w:t>
      </w:r>
      <w:r>
        <w:rPr>
          <w:rFonts w:ascii="Cambria" w:hAnsi="Cambria"/>
          <w:sz w:val="24"/>
          <w:szCs w:val="24"/>
        </w:rPr>
        <w:t xml:space="preserve">the </w:t>
      </w:r>
      <w:r w:rsidRPr="004E4B98">
        <w:rPr>
          <w:rFonts w:ascii="Cambria" w:hAnsi="Cambria" w:cs="Tahoma"/>
          <w:sz w:val="24"/>
          <w:szCs w:val="24"/>
        </w:rPr>
        <w:t>34% funding cut</w:t>
      </w:r>
      <w:r>
        <w:rPr>
          <w:rFonts w:ascii="Cambria" w:hAnsi="Cambria" w:cs="Tahoma"/>
          <w:sz w:val="24"/>
          <w:szCs w:val="24"/>
        </w:rPr>
        <w:t xml:space="preserve"> included in the Executive Budget</w:t>
      </w:r>
      <w:r w:rsidR="00121E3F">
        <w:rPr>
          <w:rFonts w:ascii="Cambria" w:hAnsi="Cambria" w:cs="Tahoma"/>
          <w:sz w:val="24"/>
          <w:szCs w:val="24"/>
        </w:rPr>
        <w:t>.</w:t>
      </w:r>
    </w:p>
    <w:p w14:paraId="1B181C3B" w14:textId="2456A9E0" w:rsidR="00E70B15" w:rsidRPr="00121E3F" w:rsidRDefault="00E70B15" w:rsidP="00E70B15">
      <w:pPr>
        <w:pStyle w:val="ListParagraph"/>
        <w:spacing w:after="0"/>
        <w:ind w:left="1440"/>
        <w:rPr>
          <w:rFonts w:ascii="Cambria" w:hAnsi="Cambria"/>
          <w:sz w:val="24"/>
          <w:szCs w:val="24"/>
        </w:rPr>
      </w:pPr>
      <w:r>
        <w:rPr>
          <w:rFonts w:ascii="Cambria" w:hAnsi="Cambria" w:cs="Tahoma"/>
          <w:sz w:val="24"/>
          <w:szCs w:val="24"/>
        </w:rPr>
        <w:t xml:space="preserve">Funding for Rural </w:t>
      </w:r>
      <w:r w:rsidR="00121E3F">
        <w:rPr>
          <w:rFonts w:ascii="Cambria" w:hAnsi="Cambria" w:cs="Tahoma"/>
          <w:sz w:val="24"/>
          <w:szCs w:val="24"/>
        </w:rPr>
        <w:t>H</w:t>
      </w:r>
      <w:r>
        <w:rPr>
          <w:rFonts w:ascii="Cambria" w:hAnsi="Cambria" w:cs="Tahoma"/>
          <w:sz w:val="24"/>
          <w:szCs w:val="24"/>
        </w:rPr>
        <w:t>ealth Networks and Rural Access Hospitals was $12,680,000 at this time last year.  If the Executive Budget is adopted</w:t>
      </w:r>
      <w:r w:rsidR="00121E3F">
        <w:rPr>
          <w:rFonts w:ascii="Cambria" w:hAnsi="Cambria" w:cs="Tahoma"/>
          <w:sz w:val="24"/>
          <w:szCs w:val="24"/>
        </w:rPr>
        <w:t>,</w:t>
      </w:r>
      <w:r>
        <w:rPr>
          <w:rFonts w:ascii="Cambria" w:hAnsi="Cambria" w:cs="Tahoma"/>
          <w:sz w:val="24"/>
          <w:szCs w:val="24"/>
        </w:rPr>
        <w:t xml:space="preserve"> it will be $6,240,000 - </w:t>
      </w:r>
      <w:r w:rsidRPr="00121E3F">
        <w:rPr>
          <w:rFonts w:ascii="Cambria" w:hAnsi="Cambria" w:cs="Tahoma"/>
          <w:b/>
          <w:bCs/>
          <w:sz w:val="24"/>
          <w:szCs w:val="24"/>
        </w:rPr>
        <w:t xml:space="preserve">a reduction of </w:t>
      </w:r>
      <w:r w:rsidR="00121E3F" w:rsidRPr="00121E3F">
        <w:rPr>
          <w:rFonts w:ascii="Cambria" w:hAnsi="Cambria" w:cs="Tahoma"/>
          <w:b/>
          <w:bCs/>
          <w:sz w:val="24"/>
          <w:szCs w:val="24"/>
        </w:rPr>
        <w:t>51%</w:t>
      </w:r>
      <w:r w:rsidR="00121E3F">
        <w:rPr>
          <w:rFonts w:ascii="Cambria" w:hAnsi="Cambria" w:cs="Tahoma"/>
          <w:b/>
          <w:bCs/>
          <w:sz w:val="24"/>
          <w:szCs w:val="24"/>
        </w:rPr>
        <w:t xml:space="preserve">.  </w:t>
      </w:r>
      <w:r w:rsidR="00121E3F">
        <w:rPr>
          <w:rFonts w:ascii="Cambria" w:hAnsi="Cambria" w:cs="Tahoma"/>
          <w:sz w:val="24"/>
          <w:szCs w:val="24"/>
        </w:rPr>
        <w:t>This is unfair to Rural New York!</w:t>
      </w:r>
    </w:p>
    <w:p w14:paraId="5F73EFF0" w14:textId="774B5A03" w:rsidR="00804DAA" w:rsidRPr="00FB0485" w:rsidRDefault="00FB0485" w:rsidP="00804DAA">
      <w:pPr>
        <w:pStyle w:val="ListParagraph"/>
        <w:numPr>
          <w:ilvl w:val="1"/>
          <w:numId w:val="1"/>
        </w:numPr>
        <w:spacing w:after="0"/>
        <w:rPr>
          <w:rFonts w:ascii="Cambria" w:hAnsi="Cambria"/>
          <w:sz w:val="24"/>
          <w:szCs w:val="24"/>
        </w:rPr>
      </w:pPr>
      <w:r w:rsidRPr="00FB0485">
        <w:rPr>
          <w:rFonts w:ascii="Cambria" w:hAnsi="Cambria"/>
          <w:sz w:val="24"/>
          <w:szCs w:val="24"/>
        </w:rPr>
        <w:t>NYS should p</w:t>
      </w:r>
      <w:r w:rsidR="00ED25FB" w:rsidRPr="00FB0485">
        <w:rPr>
          <w:rFonts w:ascii="Cambria" w:hAnsi="Cambria"/>
          <w:sz w:val="24"/>
          <w:szCs w:val="24"/>
        </w:rPr>
        <w:t>ay the outstanding balance of the 2019-20 Legislative Appropriation</w:t>
      </w:r>
      <w:r w:rsidRPr="00FB0485">
        <w:rPr>
          <w:rFonts w:ascii="Cambria" w:hAnsi="Cambria"/>
          <w:sz w:val="24"/>
          <w:szCs w:val="24"/>
        </w:rPr>
        <w:t xml:space="preserve">.  </w:t>
      </w:r>
      <w:r w:rsidR="00804DAA" w:rsidRPr="00FB0485">
        <w:rPr>
          <w:rFonts w:ascii="Cambria" w:hAnsi="Cambria"/>
          <w:sz w:val="24"/>
          <w:szCs w:val="24"/>
        </w:rPr>
        <w:t>These funds were disbursed according to a contract with NYSDOH before 4/1/20 and still have not been reimbursed.</w:t>
      </w:r>
    </w:p>
    <w:p w14:paraId="1ED3DA07" w14:textId="77777777" w:rsidR="00ED25FB" w:rsidRDefault="00ED25FB" w:rsidP="00ED25FB">
      <w:pPr>
        <w:pStyle w:val="ListParagraph"/>
        <w:numPr>
          <w:ilvl w:val="1"/>
          <w:numId w:val="1"/>
        </w:numPr>
        <w:spacing w:after="0"/>
        <w:rPr>
          <w:rFonts w:ascii="Cambria" w:hAnsi="Cambria"/>
          <w:sz w:val="24"/>
          <w:szCs w:val="24"/>
        </w:rPr>
      </w:pPr>
      <w:r>
        <w:rPr>
          <w:rFonts w:ascii="Cambria" w:hAnsi="Cambria"/>
          <w:sz w:val="24"/>
          <w:szCs w:val="24"/>
        </w:rPr>
        <w:t xml:space="preserve">Restore the 24% reduction implemented in the 2020-21 budget in </w:t>
      </w:r>
    </w:p>
    <w:p w14:paraId="6708EA4A" w14:textId="7D0BC651" w:rsidR="00804DAA" w:rsidRDefault="00ED25FB" w:rsidP="00ED25FB">
      <w:pPr>
        <w:pStyle w:val="ListParagraph"/>
        <w:spacing w:after="0"/>
        <w:ind w:left="1440"/>
        <w:rPr>
          <w:rFonts w:ascii="Cambria" w:hAnsi="Cambria"/>
          <w:sz w:val="24"/>
          <w:szCs w:val="24"/>
        </w:rPr>
      </w:pPr>
      <w:r>
        <w:rPr>
          <w:rFonts w:ascii="Cambria" w:hAnsi="Cambria"/>
          <w:sz w:val="24"/>
          <w:szCs w:val="24"/>
        </w:rPr>
        <w:t>the 2021-22 budget under consideration now</w:t>
      </w:r>
      <w:r w:rsidR="00804DAA">
        <w:rPr>
          <w:rFonts w:ascii="Cambria" w:hAnsi="Cambria"/>
          <w:sz w:val="24"/>
          <w:szCs w:val="24"/>
        </w:rPr>
        <w:t>.</w:t>
      </w:r>
      <w:r w:rsidR="00FB0485">
        <w:rPr>
          <w:rFonts w:ascii="Cambria" w:hAnsi="Cambria"/>
          <w:sz w:val="24"/>
          <w:szCs w:val="24"/>
        </w:rPr>
        <w:t xml:space="preserve">  </w:t>
      </w:r>
      <w:r w:rsidR="00804DAA">
        <w:rPr>
          <w:rFonts w:ascii="Cambria" w:hAnsi="Cambria"/>
          <w:sz w:val="24"/>
          <w:szCs w:val="24"/>
        </w:rPr>
        <w:t xml:space="preserve">Rural Health Networks and Rural Access Hospitals </w:t>
      </w:r>
      <w:r w:rsidR="00DB4C8C">
        <w:rPr>
          <w:rFonts w:ascii="Cambria" w:hAnsi="Cambria"/>
          <w:sz w:val="24"/>
          <w:szCs w:val="24"/>
        </w:rPr>
        <w:t>have had to lay off staff and eliminate the very preventive and educational programs that reduce the overall cost of healthcare, reduce hospitalizations and enhance quality of life.</w:t>
      </w:r>
    </w:p>
    <w:p w14:paraId="2E742F83" w14:textId="574B6F33" w:rsidR="00D76D5F" w:rsidRDefault="00D76D5F" w:rsidP="00ED25FB">
      <w:pPr>
        <w:pStyle w:val="ListParagraph"/>
        <w:numPr>
          <w:ilvl w:val="1"/>
          <w:numId w:val="1"/>
        </w:numPr>
        <w:spacing w:after="0"/>
        <w:rPr>
          <w:rFonts w:ascii="Cambria" w:hAnsi="Cambria"/>
          <w:sz w:val="24"/>
          <w:szCs w:val="24"/>
        </w:rPr>
      </w:pPr>
      <w:r>
        <w:rPr>
          <w:rFonts w:ascii="Cambria" w:hAnsi="Cambria"/>
          <w:sz w:val="24"/>
          <w:szCs w:val="24"/>
        </w:rPr>
        <w:t>Include the Legislative Appropriation that was in the 2020-21 budget, but not implemented, in the 2021-22 budget.</w:t>
      </w:r>
    </w:p>
    <w:p w14:paraId="03F5CA7A" w14:textId="771AB60D" w:rsidR="00A15F98" w:rsidRDefault="00A15F98" w:rsidP="00ED25FB">
      <w:pPr>
        <w:pStyle w:val="ListParagraph"/>
        <w:numPr>
          <w:ilvl w:val="1"/>
          <w:numId w:val="1"/>
        </w:numPr>
        <w:spacing w:after="0"/>
        <w:rPr>
          <w:rFonts w:ascii="Cambria" w:hAnsi="Cambria"/>
          <w:sz w:val="24"/>
          <w:szCs w:val="24"/>
        </w:rPr>
      </w:pPr>
      <w:r>
        <w:rPr>
          <w:rFonts w:ascii="Cambria" w:hAnsi="Cambria"/>
          <w:sz w:val="24"/>
          <w:szCs w:val="24"/>
        </w:rPr>
        <w:t>Fund the Charles D. Cook Office of Rural Health</w:t>
      </w:r>
    </w:p>
    <w:p w14:paraId="56C71173" w14:textId="38A714C1" w:rsidR="00A15F98" w:rsidRDefault="00A15F98" w:rsidP="00ED25FB">
      <w:pPr>
        <w:pStyle w:val="ListParagraph"/>
        <w:numPr>
          <w:ilvl w:val="1"/>
          <w:numId w:val="1"/>
        </w:numPr>
        <w:spacing w:after="0"/>
        <w:rPr>
          <w:rFonts w:ascii="Cambria" w:hAnsi="Cambria"/>
          <w:sz w:val="24"/>
          <w:szCs w:val="24"/>
        </w:rPr>
      </w:pPr>
      <w:r>
        <w:rPr>
          <w:rFonts w:ascii="Cambria" w:hAnsi="Cambria"/>
          <w:sz w:val="24"/>
          <w:szCs w:val="24"/>
        </w:rPr>
        <w:t>Empanel the NYSDOH Rural Health Council</w:t>
      </w:r>
    </w:p>
    <w:p w14:paraId="3F555324" w14:textId="081952E7" w:rsidR="00ED25FB" w:rsidRDefault="00ED25FB" w:rsidP="00ED25FB">
      <w:pPr>
        <w:spacing w:after="0"/>
        <w:rPr>
          <w:rFonts w:ascii="Cambria" w:hAnsi="Cambria"/>
          <w:sz w:val="24"/>
          <w:szCs w:val="24"/>
        </w:rPr>
      </w:pPr>
    </w:p>
    <w:p w14:paraId="2FAE74D3" w14:textId="085BC95F" w:rsidR="00FB0485" w:rsidRDefault="00FB0485" w:rsidP="00FB0485">
      <w:pPr>
        <w:spacing w:after="0"/>
        <w:rPr>
          <w:rFonts w:ascii="Cambria" w:hAnsi="Cambria"/>
          <w:sz w:val="24"/>
          <w:szCs w:val="24"/>
        </w:rPr>
      </w:pPr>
    </w:p>
    <w:p w14:paraId="187C318B" w14:textId="347C50FF" w:rsidR="004E4B98" w:rsidRPr="004E4B98" w:rsidRDefault="004E4B98" w:rsidP="0008376F">
      <w:pPr>
        <w:pStyle w:val="ListParagraph"/>
        <w:numPr>
          <w:ilvl w:val="0"/>
          <w:numId w:val="1"/>
        </w:numPr>
        <w:spacing w:after="0"/>
        <w:rPr>
          <w:rFonts w:ascii="Cambria" w:hAnsi="Cambria"/>
          <w:b/>
          <w:bCs/>
          <w:sz w:val="24"/>
          <w:szCs w:val="24"/>
        </w:rPr>
      </w:pPr>
      <w:r>
        <w:rPr>
          <w:rFonts w:ascii="Cambria" w:hAnsi="Cambria"/>
          <w:b/>
          <w:bCs/>
          <w:sz w:val="24"/>
          <w:szCs w:val="24"/>
        </w:rPr>
        <w:t xml:space="preserve">Invest in the </w:t>
      </w:r>
      <w:r w:rsidRPr="004E4B98">
        <w:rPr>
          <w:rFonts w:ascii="Cambria" w:hAnsi="Cambria"/>
          <w:b/>
          <w:bCs/>
          <w:sz w:val="24"/>
          <w:szCs w:val="24"/>
        </w:rPr>
        <w:t>Rural Workforce</w:t>
      </w:r>
    </w:p>
    <w:p w14:paraId="0A10D4EF" w14:textId="6A3AD984" w:rsidR="00A3212E" w:rsidRDefault="00B8734B" w:rsidP="004E4B98">
      <w:pPr>
        <w:pStyle w:val="ListParagraph"/>
        <w:spacing w:after="0"/>
        <w:rPr>
          <w:rFonts w:ascii="Cambria" w:hAnsi="Cambria"/>
          <w:sz w:val="24"/>
          <w:szCs w:val="24"/>
        </w:rPr>
      </w:pPr>
      <w:r>
        <w:rPr>
          <w:rFonts w:ascii="Cambria" w:hAnsi="Cambria"/>
          <w:sz w:val="24"/>
          <w:szCs w:val="24"/>
        </w:rPr>
        <w:t>Support programs that encourage, recruit, train, incentivize and support the rural health and human services workforce.</w:t>
      </w:r>
      <w:r w:rsidR="001A431F">
        <w:rPr>
          <w:rFonts w:ascii="Cambria" w:hAnsi="Cambria"/>
          <w:sz w:val="24"/>
          <w:szCs w:val="24"/>
        </w:rPr>
        <w:t xml:space="preserve">    Rural clinicians are retiring and have difficulty recruiting young providers to more remote settings.</w:t>
      </w:r>
      <w:r w:rsidR="005B02A6">
        <w:rPr>
          <w:rFonts w:ascii="Cambria" w:hAnsi="Cambria"/>
          <w:sz w:val="24"/>
          <w:szCs w:val="24"/>
        </w:rPr>
        <w:t xml:space="preserve">  NYSARH believes we need to offer more opportunity for young New Yorkers who already live in rural settings to train for a bright future in the healthcare field.</w:t>
      </w:r>
    </w:p>
    <w:p w14:paraId="650E864A" w14:textId="337F6C80" w:rsidR="00B8734B" w:rsidRPr="00B8734B" w:rsidRDefault="00B8734B" w:rsidP="00B8734B">
      <w:pPr>
        <w:pStyle w:val="ListParagraph"/>
        <w:numPr>
          <w:ilvl w:val="1"/>
          <w:numId w:val="1"/>
        </w:numPr>
        <w:spacing w:after="0"/>
        <w:rPr>
          <w:rFonts w:ascii="Cambria" w:hAnsi="Cambria"/>
          <w:sz w:val="24"/>
          <w:szCs w:val="24"/>
        </w:rPr>
      </w:pPr>
      <w:r w:rsidRPr="00B8734B">
        <w:rPr>
          <w:rFonts w:ascii="Cambria" w:hAnsi="Cambria"/>
          <w:sz w:val="24"/>
          <w:szCs w:val="24"/>
        </w:rPr>
        <w:t>Area Heath Education Centers</w:t>
      </w:r>
    </w:p>
    <w:p w14:paraId="510C886E" w14:textId="77777777" w:rsidR="00B8734B" w:rsidRPr="00D76D5F" w:rsidRDefault="00B8734B" w:rsidP="00B8734B">
      <w:pPr>
        <w:pStyle w:val="ListParagraph"/>
        <w:numPr>
          <w:ilvl w:val="1"/>
          <w:numId w:val="1"/>
        </w:numPr>
        <w:spacing w:after="0"/>
        <w:rPr>
          <w:rFonts w:ascii="Cambria" w:hAnsi="Cambria" w:cs="Tahoma"/>
          <w:sz w:val="24"/>
          <w:szCs w:val="24"/>
        </w:rPr>
      </w:pPr>
      <w:r w:rsidRPr="00D76D5F">
        <w:rPr>
          <w:rFonts w:ascii="Cambria" w:hAnsi="Cambria" w:cs="Tahoma"/>
          <w:sz w:val="24"/>
          <w:szCs w:val="24"/>
        </w:rPr>
        <w:t>Doctors Across New York</w:t>
      </w:r>
    </w:p>
    <w:p w14:paraId="2EB9D619" w14:textId="77777777" w:rsidR="00D76D5F" w:rsidRPr="00D76D5F" w:rsidRDefault="00B8734B" w:rsidP="00D76D5F">
      <w:pPr>
        <w:pStyle w:val="ListParagraph"/>
        <w:numPr>
          <w:ilvl w:val="1"/>
          <w:numId w:val="1"/>
        </w:numPr>
        <w:spacing w:after="0"/>
        <w:rPr>
          <w:rFonts w:ascii="Cambria" w:hAnsi="Cambria" w:cs="Tahoma"/>
          <w:sz w:val="24"/>
          <w:szCs w:val="24"/>
        </w:rPr>
      </w:pPr>
      <w:r w:rsidRPr="00D76D5F">
        <w:rPr>
          <w:rFonts w:ascii="Cambria" w:hAnsi="Cambria" w:cs="Tahoma"/>
          <w:sz w:val="24"/>
          <w:szCs w:val="24"/>
        </w:rPr>
        <w:t>Diversity in Medicine</w:t>
      </w:r>
    </w:p>
    <w:p w14:paraId="27AB5362" w14:textId="06D61524" w:rsidR="00D76D5F" w:rsidRPr="004E4B98" w:rsidRDefault="00B8734B" w:rsidP="00D76D5F">
      <w:pPr>
        <w:pStyle w:val="ListParagraph"/>
        <w:numPr>
          <w:ilvl w:val="1"/>
          <w:numId w:val="1"/>
        </w:numPr>
        <w:spacing w:after="0"/>
        <w:rPr>
          <w:rFonts w:ascii="Cambria" w:hAnsi="Cambria" w:cs="Tahoma"/>
          <w:sz w:val="24"/>
          <w:szCs w:val="24"/>
        </w:rPr>
      </w:pPr>
      <w:r w:rsidRPr="00D76D5F">
        <w:rPr>
          <w:rFonts w:ascii="Cambria" w:hAnsi="Cambria" w:cs="Tahoma"/>
          <w:sz w:val="24"/>
          <w:szCs w:val="24"/>
        </w:rPr>
        <w:t>Rural Residency Programs</w:t>
      </w:r>
      <w:r w:rsidR="00D76D5F" w:rsidRPr="00D76D5F">
        <w:rPr>
          <w:rFonts w:ascii="Cambria" w:eastAsia="Calibri" w:hAnsi="Cambria" w:cs="Tahoma"/>
          <w:sz w:val="24"/>
          <w:szCs w:val="24"/>
        </w:rPr>
        <w:t xml:space="preserve"> </w:t>
      </w:r>
    </w:p>
    <w:p w14:paraId="5DF5C6D1" w14:textId="6A163806" w:rsidR="004E4B98" w:rsidRPr="004E4B98" w:rsidRDefault="004E4B98" w:rsidP="00D76D5F">
      <w:pPr>
        <w:pStyle w:val="ListParagraph"/>
        <w:numPr>
          <w:ilvl w:val="1"/>
          <w:numId w:val="1"/>
        </w:numPr>
        <w:spacing w:after="0"/>
        <w:rPr>
          <w:rFonts w:ascii="Cambria" w:hAnsi="Cambria" w:cs="Tahoma"/>
          <w:sz w:val="24"/>
          <w:szCs w:val="24"/>
        </w:rPr>
      </w:pPr>
      <w:r>
        <w:rPr>
          <w:rFonts w:ascii="Cambria" w:eastAsia="Calibri" w:hAnsi="Cambria" w:cs="Tahoma"/>
          <w:sz w:val="24"/>
          <w:szCs w:val="24"/>
        </w:rPr>
        <w:t>Primary Care Service Corps</w:t>
      </w:r>
    </w:p>
    <w:p w14:paraId="7170408D" w14:textId="51DA42FA" w:rsidR="004E4B98" w:rsidRPr="004E4B98" w:rsidRDefault="004E4B98" w:rsidP="00D76D5F">
      <w:pPr>
        <w:pStyle w:val="ListParagraph"/>
        <w:numPr>
          <w:ilvl w:val="1"/>
          <w:numId w:val="1"/>
        </w:numPr>
        <w:spacing w:after="0"/>
        <w:rPr>
          <w:rFonts w:ascii="Cambria" w:hAnsi="Cambria" w:cs="Tahoma"/>
          <w:sz w:val="24"/>
          <w:szCs w:val="24"/>
        </w:rPr>
      </w:pPr>
      <w:r>
        <w:rPr>
          <w:rFonts w:ascii="Cambria" w:eastAsia="Calibri" w:hAnsi="Cambria" w:cs="Tahoma"/>
          <w:sz w:val="24"/>
          <w:szCs w:val="24"/>
        </w:rPr>
        <w:t>J-1 Visa Waiver Programs</w:t>
      </w:r>
    </w:p>
    <w:p w14:paraId="213456DA" w14:textId="72540B2E" w:rsidR="004E4B98" w:rsidRPr="004E4B98" w:rsidRDefault="004E4B98" w:rsidP="00D76D5F">
      <w:pPr>
        <w:pStyle w:val="ListParagraph"/>
        <w:numPr>
          <w:ilvl w:val="1"/>
          <w:numId w:val="1"/>
        </w:numPr>
        <w:spacing w:after="0"/>
        <w:rPr>
          <w:rFonts w:ascii="Cambria" w:hAnsi="Cambria" w:cs="Tahoma"/>
          <w:sz w:val="24"/>
          <w:szCs w:val="24"/>
        </w:rPr>
      </w:pPr>
      <w:r>
        <w:rPr>
          <w:rFonts w:ascii="Cambria" w:eastAsia="Calibri" w:hAnsi="Cambria" w:cs="Tahoma"/>
          <w:sz w:val="24"/>
          <w:szCs w:val="24"/>
        </w:rPr>
        <w:t>Take a Tour</w:t>
      </w:r>
    </w:p>
    <w:p w14:paraId="1D3DD215" w14:textId="071274C4" w:rsidR="004E4B98" w:rsidRPr="00D76D5F" w:rsidRDefault="004E4B98" w:rsidP="00D76D5F">
      <w:pPr>
        <w:pStyle w:val="ListParagraph"/>
        <w:numPr>
          <w:ilvl w:val="1"/>
          <w:numId w:val="1"/>
        </w:numPr>
        <w:spacing w:after="0"/>
        <w:rPr>
          <w:rFonts w:ascii="Cambria" w:hAnsi="Cambria" w:cs="Tahoma"/>
          <w:sz w:val="24"/>
          <w:szCs w:val="24"/>
        </w:rPr>
      </w:pPr>
      <w:r>
        <w:rPr>
          <w:rFonts w:ascii="Cambria" w:eastAsia="Calibri" w:hAnsi="Cambria" w:cs="Tahoma"/>
          <w:sz w:val="24"/>
          <w:szCs w:val="24"/>
        </w:rPr>
        <w:t>Health Workforce Retraining Initiative</w:t>
      </w:r>
    </w:p>
    <w:p w14:paraId="11003F03" w14:textId="4BE465A4" w:rsidR="005B02A6" w:rsidRDefault="00D76D5F" w:rsidP="00D76D5F">
      <w:pPr>
        <w:pStyle w:val="ListParagraph"/>
        <w:numPr>
          <w:ilvl w:val="1"/>
          <w:numId w:val="1"/>
        </w:numPr>
        <w:spacing w:after="0"/>
        <w:rPr>
          <w:rFonts w:ascii="Cambria" w:eastAsia="Calibri" w:hAnsi="Cambria" w:cs="Tahoma"/>
          <w:sz w:val="24"/>
          <w:szCs w:val="24"/>
        </w:rPr>
      </w:pPr>
      <w:r w:rsidRPr="00D76D5F">
        <w:rPr>
          <w:rFonts w:ascii="Cambria" w:eastAsia="Calibri" w:hAnsi="Cambria" w:cs="Tahoma"/>
          <w:sz w:val="24"/>
          <w:szCs w:val="24"/>
        </w:rPr>
        <w:t>Provide fair payment to Peers</w:t>
      </w:r>
    </w:p>
    <w:p w14:paraId="141C1474" w14:textId="144971BF" w:rsidR="00E70B15" w:rsidRDefault="00E70B15">
      <w:pPr>
        <w:rPr>
          <w:rFonts w:ascii="Cambria" w:eastAsia="Calibri" w:hAnsi="Cambria" w:cs="Tahoma"/>
          <w:sz w:val="24"/>
          <w:szCs w:val="24"/>
        </w:rPr>
      </w:pPr>
      <w:r>
        <w:rPr>
          <w:rFonts w:ascii="Cambria" w:eastAsia="Calibri" w:hAnsi="Cambria" w:cs="Tahoma"/>
          <w:sz w:val="24"/>
          <w:szCs w:val="24"/>
        </w:rPr>
        <w:br w:type="page"/>
      </w:r>
    </w:p>
    <w:p w14:paraId="609D6A6D" w14:textId="77777777" w:rsidR="00E70B15" w:rsidRDefault="00E70B15" w:rsidP="00E70B15">
      <w:pPr>
        <w:pStyle w:val="ListParagraph"/>
        <w:spacing w:after="0"/>
        <w:ind w:left="1440"/>
        <w:rPr>
          <w:rFonts w:ascii="Cambria" w:eastAsia="Calibri" w:hAnsi="Cambria" w:cs="Tahoma"/>
          <w:sz w:val="24"/>
          <w:szCs w:val="24"/>
        </w:rPr>
      </w:pPr>
    </w:p>
    <w:p w14:paraId="748FFD55" w14:textId="2BBFAF2C" w:rsidR="00E70B15" w:rsidRDefault="00E70B15" w:rsidP="00E70B15">
      <w:pPr>
        <w:pStyle w:val="ListParagraph"/>
        <w:numPr>
          <w:ilvl w:val="0"/>
          <w:numId w:val="1"/>
        </w:numPr>
        <w:spacing w:after="0"/>
        <w:rPr>
          <w:rFonts w:ascii="Cambria" w:hAnsi="Cambria"/>
          <w:b/>
          <w:bCs/>
          <w:sz w:val="24"/>
          <w:szCs w:val="24"/>
        </w:rPr>
      </w:pPr>
      <w:r w:rsidRPr="004E4B98">
        <w:rPr>
          <w:rFonts w:ascii="Cambria" w:hAnsi="Cambria"/>
          <w:b/>
          <w:bCs/>
          <w:sz w:val="24"/>
          <w:szCs w:val="24"/>
        </w:rPr>
        <w:t>Expand Rural Broadband and Telehealth Options</w:t>
      </w:r>
    </w:p>
    <w:p w14:paraId="73AFF8AF" w14:textId="4B78E2BC" w:rsidR="00121E3F" w:rsidRPr="00121E3F" w:rsidRDefault="00121E3F" w:rsidP="00121E3F">
      <w:pPr>
        <w:pStyle w:val="ListParagraph"/>
        <w:spacing w:after="0"/>
        <w:rPr>
          <w:rFonts w:ascii="Cambria" w:hAnsi="Cambria"/>
          <w:sz w:val="24"/>
          <w:szCs w:val="24"/>
        </w:rPr>
      </w:pPr>
      <w:r w:rsidRPr="00121E3F">
        <w:rPr>
          <w:rFonts w:ascii="Cambria" w:hAnsi="Cambria"/>
          <w:sz w:val="24"/>
          <w:szCs w:val="24"/>
        </w:rPr>
        <w:t xml:space="preserve">The </w:t>
      </w:r>
      <w:r>
        <w:rPr>
          <w:rFonts w:ascii="Cambria" w:hAnsi="Cambria"/>
          <w:sz w:val="24"/>
          <w:szCs w:val="24"/>
        </w:rPr>
        <w:t>FCC has allowed telecom companies to utilize a flawed formula to calculate coverage.  The Reimagine New York Commission did extensive outreach and analysis and  determined that 20% of New Yorkers do not have access to Broadband.  This number is as high as 50% in some rural communities.</w:t>
      </w:r>
    </w:p>
    <w:p w14:paraId="52F68A0F" w14:textId="77777777" w:rsidR="00E70B15" w:rsidRDefault="00E70B15" w:rsidP="00E70B15">
      <w:pPr>
        <w:pStyle w:val="ListParagraph"/>
        <w:numPr>
          <w:ilvl w:val="1"/>
          <w:numId w:val="1"/>
        </w:numPr>
        <w:spacing w:after="0"/>
        <w:rPr>
          <w:rFonts w:ascii="Cambria" w:hAnsi="Cambria"/>
          <w:sz w:val="24"/>
          <w:szCs w:val="24"/>
        </w:rPr>
      </w:pPr>
      <w:r>
        <w:rPr>
          <w:rFonts w:ascii="Cambria" w:hAnsi="Cambria"/>
          <w:sz w:val="24"/>
          <w:szCs w:val="24"/>
        </w:rPr>
        <w:t>Broadband has become an essential utility to preserve rural lifestyles.      Without access to broadband, the population of rural counties will continue to shrink.  Broadband coverage is needed for:</w:t>
      </w:r>
    </w:p>
    <w:p w14:paraId="571B35BE" w14:textId="77777777" w:rsidR="00E70B15" w:rsidRDefault="00E70B15" w:rsidP="00E70B15">
      <w:pPr>
        <w:pStyle w:val="ListParagraph"/>
        <w:numPr>
          <w:ilvl w:val="2"/>
          <w:numId w:val="1"/>
        </w:numPr>
        <w:spacing w:after="0"/>
        <w:rPr>
          <w:rFonts w:ascii="Cambria" w:hAnsi="Cambria"/>
          <w:sz w:val="24"/>
          <w:szCs w:val="24"/>
        </w:rPr>
      </w:pPr>
      <w:r>
        <w:rPr>
          <w:rFonts w:ascii="Cambria" w:hAnsi="Cambria"/>
          <w:sz w:val="24"/>
          <w:szCs w:val="24"/>
        </w:rPr>
        <w:t>Economic development</w:t>
      </w:r>
    </w:p>
    <w:p w14:paraId="49E9A120" w14:textId="77777777" w:rsidR="00E70B15" w:rsidRDefault="00E70B15" w:rsidP="00E70B15">
      <w:pPr>
        <w:pStyle w:val="ListParagraph"/>
        <w:numPr>
          <w:ilvl w:val="2"/>
          <w:numId w:val="1"/>
        </w:numPr>
        <w:spacing w:after="0"/>
        <w:rPr>
          <w:rFonts w:ascii="Cambria" w:hAnsi="Cambria"/>
          <w:sz w:val="24"/>
          <w:szCs w:val="24"/>
        </w:rPr>
      </w:pPr>
      <w:r>
        <w:rPr>
          <w:rFonts w:ascii="Cambria" w:hAnsi="Cambria"/>
          <w:sz w:val="24"/>
          <w:szCs w:val="24"/>
        </w:rPr>
        <w:t>Employment</w:t>
      </w:r>
    </w:p>
    <w:p w14:paraId="22D72012" w14:textId="77777777" w:rsidR="00E70B15" w:rsidRDefault="00E70B15" w:rsidP="00E70B15">
      <w:pPr>
        <w:pStyle w:val="ListParagraph"/>
        <w:numPr>
          <w:ilvl w:val="2"/>
          <w:numId w:val="1"/>
        </w:numPr>
        <w:spacing w:after="0"/>
        <w:rPr>
          <w:rFonts w:ascii="Cambria" w:hAnsi="Cambria"/>
          <w:sz w:val="24"/>
          <w:szCs w:val="24"/>
        </w:rPr>
      </w:pPr>
      <w:r>
        <w:rPr>
          <w:rFonts w:ascii="Cambria" w:hAnsi="Cambria"/>
          <w:sz w:val="24"/>
          <w:szCs w:val="24"/>
        </w:rPr>
        <w:t>Education</w:t>
      </w:r>
    </w:p>
    <w:p w14:paraId="31F6050B" w14:textId="77777777" w:rsidR="00E70B15" w:rsidRDefault="00E70B15" w:rsidP="00E70B15">
      <w:pPr>
        <w:pStyle w:val="ListParagraph"/>
        <w:numPr>
          <w:ilvl w:val="2"/>
          <w:numId w:val="1"/>
        </w:numPr>
        <w:spacing w:after="0"/>
        <w:rPr>
          <w:rFonts w:ascii="Cambria" w:hAnsi="Cambria"/>
          <w:sz w:val="24"/>
          <w:szCs w:val="24"/>
        </w:rPr>
      </w:pPr>
      <w:r w:rsidRPr="004F56B5">
        <w:rPr>
          <w:rFonts w:ascii="Cambria" w:hAnsi="Cambria"/>
          <w:sz w:val="24"/>
          <w:szCs w:val="24"/>
        </w:rPr>
        <w:t xml:space="preserve">Local Government </w:t>
      </w:r>
    </w:p>
    <w:p w14:paraId="462C3ACE" w14:textId="77777777" w:rsidR="00E70B15" w:rsidRDefault="00E70B15" w:rsidP="00E70B15">
      <w:pPr>
        <w:pStyle w:val="ListParagraph"/>
        <w:numPr>
          <w:ilvl w:val="2"/>
          <w:numId w:val="1"/>
        </w:numPr>
        <w:spacing w:after="0"/>
        <w:rPr>
          <w:rFonts w:ascii="Cambria" w:hAnsi="Cambria"/>
          <w:sz w:val="24"/>
          <w:szCs w:val="24"/>
        </w:rPr>
      </w:pPr>
      <w:r w:rsidRPr="004F56B5">
        <w:rPr>
          <w:rFonts w:ascii="Cambria" w:hAnsi="Cambria"/>
          <w:sz w:val="24"/>
          <w:szCs w:val="24"/>
        </w:rPr>
        <w:t>Recreation</w:t>
      </w:r>
      <w:r>
        <w:rPr>
          <w:rFonts w:ascii="Cambria" w:hAnsi="Cambria"/>
          <w:sz w:val="24"/>
          <w:szCs w:val="24"/>
        </w:rPr>
        <w:t xml:space="preserve"> </w:t>
      </w:r>
    </w:p>
    <w:p w14:paraId="29D8D970" w14:textId="77777777" w:rsidR="00E70B15" w:rsidRPr="004F56B5" w:rsidRDefault="00E70B15" w:rsidP="00E70B15">
      <w:pPr>
        <w:pStyle w:val="ListParagraph"/>
        <w:spacing w:after="0"/>
        <w:ind w:left="2160"/>
        <w:rPr>
          <w:rFonts w:ascii="Cambria" w:hAnsi="Cambria"/>
          <w:sz w:val="24"/>
          <w:szCs w:val="24"/>
        </w:rPr>
      </w:pPr>
      <w:r>
        <w:rPr>
          <w:rFonts w:ascii="Cambria" w:hAnsi="Cambria"/>
          <w:sz w:val="24"/>
          <w:szCs w:val="24"/>
        </w:rPr>
        <w:t>as well as</w:t>
      </w:r>
    </w:p>
    <w:p w14:paraId="7F1A670A" w14:textId="77777777" w:rsidR="00E70B15" w:rsidRDefault="00E70B15" w:rsidP="00E70B15">
      <w:pPr>
        <w:pStyle w:val="ListParagraph"/>
        <w:numPr>
          <w:ilvl w:val="2"/>
          <w:numId w:val="1"/>
        </w:numPr>
        <w:spacing w:after="0"/>
        <w:rPr>
          <w:rFonts w:ascii="Cambria" w:hAnsi="Cambria"/>
          <w:sz w:val="24"/>
          <w:szCs w:val="24"/>
        </w:rPr>
      </w:pPr>
      <w:r>
        <w:rPr>
          <w:rFonts w:ascii="Cambria" w:hAnsi="Cambria"/>
          <w:sz w:val="24"/>
          <w:szCs w:val="24"/>
        </w:rPr>
        <w:t>Healthcare.</w:t>
      </w:r>
    </w:p>
    <w:p w14:paraId="32EFE42B" w14:textId="77777777" w:rsidR="00E70B15" w:rsidRDefault="00E70B15" w:rsidP="00E70B15">
      <w:pPr>
        <w:pStyle w:val="ListParagraph"/>
        <w:numPr>
          <w:ilvl w:val="1"/>
          <w:numId w:val="1"/>
        </w:numPr>
        <w:spacing w:after="0"/>
        <w:rPr>
          <w:rFonts w:ascii="Cambria" w:hAnsi="Cambria"/>
          <w:sz w:val="24"/>
          <w:szCs w:val="24"/>
        </w:rPr>
      </w:pPr>
      <w:r>
        <w:rPr>
          <w:rFonts w:ascii="Cambria" w:hAnsi="Cambria"/>
          <w:sz w:val="24"/>
          <w:szCs w:val="24"/>
        </w:rPr>
        <w:t>The medical and behavioral health sector was moving toward telehealth services before the pandemic, but the adoption of telehealth options has greatly accelerated.  This has permitted multiple parallel rapid cycle quality improvement efforts to occur all over the State, improving our collective understanding of best practices.</w:t>
      </w:r>
    </w:p>
    <w:p w14:paraId="38111113" w14:textId="77777777" w:rsidR="00E70B15" w:rsidRDefault="00E70B15" w:rsidP="00E70B15">
      <w:pPr>
        <w:pStyle w:val="ListParagraph"/>
        <w:spacing w:after="0"/>
        <w:ind w:left="1440"/>
        <w:rPr>
          <w:rFonts w:ascii="Cambria" w:hAnsi="Cambria"/>
          <w:sz w:val="24"/>
          <w:szCs w:val="24"/>
        </w:rPr>
      </w:pPr>
      <w:r>
        <w:rPr>
          <w:rFonts w:ascii="Cambria" w:hAnsi="Cambria"/>
          <w:sz w:val="24"/>
          <w:szCs w:val="24"/>
        </w:rPr>
        <w:t>Recommendations:</w:t>
      </w:r>
    </w:p>
    <w:p w14:paraId="01C8DC60" w14:textId="77777777" w:rsidR="00E70B15" w:rsidRDefault="00E70B15" w:rsidP="00E70B15">
      <w:pPr>
        <w:pStyle w:val="ListParagraph"/>
        <w:numPr>
          <w:ilvl w:val="2"/>
          <w:numId w:val="1"/>
        </w:numPr>
        <w:spacing w:after="0"/>
        <w:rPr>
          <w:rFonts w:ascii="Cambria" w:hAnsi="Cambria"/>
          <w:sz w:val="24"/>
          <w:szCs w:val="24"/>
        </w:rPr>
      </w:pPr>
      <w:r>
        <w:rPr>
          <w:rFonts w:ascii="Cambria" w:hAnsi="Cambria"/>
          <w:sz w:val="24"/>
          <w:szCs w:val="24"/>
        </w:rPr>
        <w:t>Permanently allow and require adequate insurance reimbursement for audio-only telephonic visits when clinically appropriate</w:t>
      </w:r>
    </w:p>
    <w:p w14:paraId="11BAF385" w14:textId="6BCE1637" w:rsidR="00E70B15" w:rsidRDefault="00E70B15" w:rsidP="00E70B15">
      <w:pPr>
        <w:pStyle w:val="ListParagraph"/>
        <w:numPr>
          <w:ilvl w:val="2"/>
          <w:numId w:val="1"/>
        </w:numPr>
        <w:spacing w:after="0"/>
        <w:rPr>
          <w:rFonts w:ascii="Cambria" w:hAnsi="Cambria"/>
          <w:sz w:val="24"/>
          <w:szCs w:val="24"/>
        </w:rPr>
      </w:pPr>
      <w:r>
        <w:rPr>
          <w:rFonts w:ascii="Cambria" w:hAnsi="Cambria"/>
          <w:sz w:val="24"/>
          <w:szCs w:val="24"/>
        </w:rPr>
        <w:t>Permanently allow and require adequate insurance reimbursement for audio-video visits when clinically appropriate</w:t>
      </w:r>
    </w:p>
    <w:p w14:paraId="5C372DC9" w14:textId="77777777" w:rsidR="00E70B15" w:rsidRDefault="00E70B15" w:rsidP="00E70B15">
      <w:pPr>
        <w:pStyle w:val="ListParagraph"/>
        <w:spacing w:after="0"/>
        <w:ind w:left="2160"/>
        <w:rPr>
          <w:rFonts w:ascii="Cambria" w:hAnsi="Cambria"/>
          <w:sz w:val="24"/>
          <w:szCs w:val="24"/>
        </w:rPr>
      </w:pPr>
    </w:p>
    <w:p w14:paraId="3627579E" w14:textId="55B71AD7" w:rsidR="00E70B15" w:rsidRDefault="00E70B15" w:rsidP="00E70B15">
      <w:pPr>
        <w:pStyle w:val="ListParagraph"/>
        <w:numPr>
          <w:ilvl w:val="0"/>
          <w:numId w:val="1"/>
        </w:numPr>
        <w:spacing w:after="0"/>
        <w:rPr>
          <w:rFonts w:ascii="Cambria" w:hAnsi="Cambria"/>
          <w:sz w:val="24"/>
          <w:szCs w:val="24"/>
        </w:rPr>
      </w:pPr>
      <w:r>
        <w:rPr>
          <w:rFonts w:ascii="Cambria" w:hAnsi="Cambria"/>
          <w:b/>
          <w:bCs/>
          <w:sz w:val="24"/>
          <w:szCs w:val="24"/>
        </w:rPr>
        <w:t xml:space="preserve">Reject </w:t>
      </w:r>
      <w:r w:rsidR="00121E3F">
        <w:rPr>
          <w:rFonts w:ascii="Cambria" w:hAnsi="Cambria"/>
          <w:b/>
          <w:bCs/>
          <w:sz w:val="24"/>
          <w:szCs w:val="24"/>
        </w:rPr>
        <w:t xml:space="preserve">the </w:t>
      </w:r>
      <w:r>
        <w:rPr>
          <w:rFonts w:ascii="Cambria" w:hAnsi="Cambria"/>
          <w:b/>
          <w:bCs/>
          <w:sz w:val="24"/>
          <w:szCs w:val="24"/>
        </w:rPr>
        <w:t>Pharmacy Carve-Out</w:t>
      </w:r>
    </w:p>
    <w:p w14:paraId="1E591547" w14:textId="3027E8C7" w:rsidR="00E70B15" w:rsidRDefault="00E70B15" w:rsidP="00E70B15">
      <w:pPr>
        <w:pStyle w:val="ListParagraph"/>
        <w:spacing w:after="0"/>
        <w:rPr>
          <w:rFonts w:ascii="Cambria" w:hAnsi="Cambria"/>
          <w:sz w:val="24"/>
          <w:szCs w:val="24"/>
        </w:rPr>
      </w:pPr>
      <w:r>
        <w:rPr>
          <w:rFonts w:ascii="Cambria" w:hAnsi="Cambria"/>
          <w:sz w:val="24"/>
          <w:szCs w:val="24"/>
        </w:rPr>
        <w:t>Reject the proposed MRT II Pharmacy Carve-Out in the §1115 Medicaid Waiver now in process.    Support A</w:t>
      </w:r>
      <w:r w:rsidR="00B915A6">
        <w:rPr>
          <w:rFonts w:ascii="Cambria" w:hAnsi="Cambria"/>
          <w:sz w:val="24"/>
          <w:szCs w:val="24"/>
        </w:rPr>
        <w:t>1671</w:t>
      </w:r>
      <w:r>
        <w:rPr>
          <w:rFonts w:ascii="Cambria" w:hAnsi="Cambria"/>
          <w:sz w:val="24"/>
          <w:szCs w:val="24"/>
        </w:rPr>
        <w:t>(Gottfried)/S</w:t>
      </w:r>
      <w:r w:rsidR="00B915A6">
        <w:rPr>
          <w:rFonts w:ascii="Cambria" w:hAnsi="Cambria"/>
          <w:sz w:val="24"/>
          <w:szCs w:val="24"/>
        </w:rPr>
        <w:t>2520</w:t>
      </w:r>
      <w:r>
        <w:rPr>
          <w:rFonts w:ascii="Cambria" w:hAnsi="Cambria"/>
          <w:sz w:val="24"/>
          <w:szCs w:val="24"/>
        </w:rPr>
        <w:t>(Rivera).  Rural hospitals and health centers rely on the 340B Pharmacy Discount program to:</w:t>
      </w:r>
    </w:p>
    <w:p w14:paraId="5A920634" w14:textId="77777777" w:rsidR="00E70B15" w:rsidRDefault="00E70B15" w:rsidP="00E70B15">
      <w:pPr>
        <w:pStyle w:val="ListParagraph"/>
        <w:numPr>
          <w:ilvl w:val="1"/>
          <w:numId w:val="1"/>
        </w:numPr>
        <w:spacing w:after="0"/>
        <w:rPr>
          <w:rFonts w:ascii="Cambria" w:hAnsi="Cambria"/>
          <w:sz w:val="24"/>
          <w:szCs w:val="24"/>
        </w:rPr>
      </w:pPr>
      <w:r>
        <w:rPr>
          <w:rFonts w:ascii="Cambria" w:hAnsi="Cambria"/>
          <w:sz w:val="24"/>
          <w:szCs w:val="24"/>
        </w:rPr>
        <w:t>Keep prescription prices affordable for lower-income patients</w:t>
      </w:r>
    </w:p>
    <w:p w14:paraId="2F04E8AF" w14:textId="77777777" w:rsidR="00E70B15" w:rsidRDefault="00E70B15" w:rsidP="00E70B15">
      <w:pPr>
        <w:pStyle w:val="ListParagraph"/>
        <w:numPr>
          <w:ilvl w:val="1"/>
          <w:numId w:val="1"/>
        </w:numPr>
        <w:spacing w:after="0"/>
        <w:rPr>
          <w:rFonts w:ascii="Cambria" w:hAnsi="Cambria"/>
          <w:sz w:val="24"/>
          <w:szCs w:val="24"/>
        </w:rPr>
      </w:pPr>
      <w:r>
        <w:rPr>
          <w:rFonts w:ascii="Cambria" w:hAnsi="Cambria"/>
          <w:sz w:val="24"/>
          <w:szCs w:val="24"/>
        </w:rPr>
        <w:t>Enable HIV+ patients to access necessary treatment</w:t>
      </w:r>
    </w:p>
    <w:p w14:paraId="6A5F5BB6" w14:textId="77777777" w:rsidR="00E70B15" w:rsidRPr="00FB0485" w:rsidRDefault="00E70B15" w:rsidP="00E70B15">
      <w:pPr>
        <w:pStyle w:val="ListParagraph"/>
        <w:numPr>
          <w:ilvl w:val="1"/>
          <w:numId w:val="1"/>
        </w:numPr>
        <w:spacing w:after="0"/>
        <w:rPr>
          <w:rFonts w:ascii="Cambria" w:hAnsi="Cambria"/>
          <w:sz w:val="24"/>
          <w:szCs w:val="24"/>
        </w:rPr>
      </w:pPr>
      <w:r>
        <w:rPr>
          <w:rFonts w:ascii="Cambria" w:hAnsi="Cambria"/>
          <w:sz w:val="24"/>
          <w:szCs w:val="24"/>
        </w:rPr>
        <w:t>Implement various outreach, support and education programs to increase access to care, enhance wellness and prevent chronic disease</w:t>
      </w:r>
    </w:p>
    <w:p w14:paraId="674E42A9" w14:textId="77777777" w:rsidR="00E70B15" w:rsidRDefault="00E70B15" w:rsidP="00E70B15">
      <w:pPr>
        <w:pStyle w:val="ListParagraph"/>
        <w:spacing w:after="0"/>
        <w:rPr>
          <w:rFonts w:ascii="Cambria" w:hAnsi="Cambria"/>
          <w:sz w:val="24"/>
          <w:szCs w:val="24"/>
        </w:rPr>
      </w:pPr>
      <w:r w:rsidRPr="004C6E8B">
        <w:rPr>
          <w:rFonts w:ascii="Cambria" w:hAnsi="Cambria"/>
          <w:sz w:val="24"/>
          <w:szCs w:val="24"/>
        </w:rPr>
        <w:t>In recognition of the negative financial impact the carveout will have on safety net providers, the waiver extension includes a one-time investment of $102M to support covered entities that currently benefit from 340B savings. There is no methodology for distribution included in the waiver and this funding is to be shared by all covered entities. This one-time funding is not only woefully inadequate given the enormity of the losses that will be experienced by the safety net providers, it is also not a long-term solution for sustainability.</w:t>
      </w:r>
    </w:p>
    <w:p w14:paraId="7836BD56" w14:textId="670A7271" w:rsidR="00121E3F" w:rsidRDefault="00121E3F" w:rsidP="00121E3F">
      <w:pPr>
        <w:rPr>
          <w:rFonts w:ascii="Cambria" w:eastAsia="Calibri" w:hAnsi="Cambria" w:cs="Tahoma"/>
          <w:sz w:val="24"/>
          <w:szCs w:val="24"/>
        </w:rPr>
      </w:pPr>
    </w:p>
    <w:p w14:paraId="4D0B249C" w14:textId="79AEE8B9" w:rsidR="004E4B98" w:rsidRPr="00121E3F" w:rsidRDefault="004E4B98" w:rsidP="00121E3F">
      <w:pPr>
        <w:pStyle w:val="ListParagraph"/>
        <w:numPr>
          <w:ilvl w:val="0"/>
          <w:numId w:val="1"/>
        </w:numPr>
        <w:rPr>
          <w:rFonts w:ascii="Cambria" w:hAnsi="Cambria" w:cs="Tahoma"/>
          <w:sz w:val="24"/>
          <w:szCs w:val="24"/>
        </w:rPr>
      </w:pPr>
      <w:r w:rsidRPr="00121E3F">
        <w:rPr>
          <w:rFonts w:ascii="Cambria" w:hAnsi="Cambria" w:cs="Tahoma"/>
          <w:b/>
          <w:bCs/>
          <w:sz w:val="24"/>
          <w:szCs w:val="24"/>
        </w:rPr>
        <w:t>Champion Rural EMS</w:t>
      </w:r>
      <w:r w:rsidR="009A1273" w:rsidRPr="00121E3F">
        <w:rPr>
          <w:rFonts w:ascii="Cambria" w:hAnsi="Cambria" w:cs="Tahoma"/>
          <w:b/>
          <w:bCs/>
          <w:sz w:val="24"/>
          <w:szCs w:val="24"/>
        </w:rPr>
        <w:t xml:space="preserve"> &amp; Community Paramedicine</w:t>
      </w:r>
    </w:p>
    <w:p w14:paraId="693B563D" w14:textId="77777777" w:rsidR="009A1273" w:rsidRPr="009A1273" w:rsidRDefault="009A1273" w:rsidP="009A1273">
      <w:pPr>
        <w:pStyle w:val="ListParagraph"/>
        <w:numPr>
          <w:ilvl w:val="1"/>
          <w:numId w:val="1"/>
        </w:numPr>
        <w:rPr>
          <w:rFonts w:ascii="Cambria" w:eastAsia="Calibri" w:hAnsi="Cambria" w:cs="Times New Roman"/>
          <w:sz w:val="24"/>
          <w:szCs w:val="24"/>
        </w:rPr>
      </w:pPr>
      <w:r w:rsidRPr="009A1273">
        <w:rPr>
          <w:rFonts w:ascii="Cambria" w:eastAsia="Calibri" w:hAnsi="Cambria" w:cs="Times New Roman"/>
          <w:sz w:val="24"/>
          <w:szCs w:val="24"/>
        </w:rPr>
        <w:t>Increase Medicaid ambulance fees to match Medicare rates</w:t>
      </w:r>
    </w:p>
    <w:p w14:paraId="246844C5" w14:textId="77777777" w:rsidR="009A1273" w:rsidRPr="009A1273" w:rsidRDefault="009A1273" w:rsidP="009A1273">
      <w:pPr>
        <w:pStyle w:val="ListParagraph"/>
        <w:numPr>
          <w:ilvl w:val="2"/>
          <w:numId w:val="1"/>
        </w:numPr>
        <w:rPr>
          <w:rFonts w:ascii="Cambria" w:eastAsia="Calibri" w:hAnsi="Cambria" w:cs="Times New Roman"/>
          <w:sz w:val="24"/>
          <w:szCs w:val="24"/>
        </w:rPr>
      </w:pPr>
      <w:r w:rsidRPr="009A1273">
        <w:rPr>
          <w:rFonts w:ascii="Cambria" w:eastAsia="Calibri" w:hAnsi="Cambria" w:cs="Times New Roman"/>
          <w:sz w:val="24"/>
          <w:szCs w:val="24"/>
        </w:rPr>
        <w:t>Address Medicare/Medicaid ‘cross-over billings’</w:t>
      </w:r>
    </w:p>
    <w:p w14:paraId="4F22EE8A" w14:textId="77777777" w:rsidR="009A1273" w:rsidRPr="009A1273" w:rsidRDefault="009A1273" w:rsidP="009A1273">
      <w:pPr>
        <w:pStyle w:val="ListParagraph"/>
        <w:numPr>
          <w:ilvl w:val="1"/>
          <w:numId w:val="1"/>
        </w:numPr>
        <w:rPr>
          <w:rFonts w:ascii="Cambria" w:eastAsia="Calibri" w:hAnsi="Cambria" w:cs="Times New Roman"/>
          <w:sz w:val="24"/>
          <w:szCs w:val="24"/>
        </w:rPr>
      </w:pPr>
      <w:r w:rsidRPr="009A1273">
        <w:rPr>
          <w:rFonts w:ascii="Cambria" w:eastAsia="Calibri" w:hAnsi="Cambria" w:cs="Times New Roman"/>
          <w:sz w:val="24"/>
          <w:szCs w:val="24"/>
        </w:rPr>
        <w:t>Provide more EMS training via webinar and remote locations to facilitate rural participation</w:t>
      </w:r>
    </w:p>
    <w:p w14:paraId="0A260E16" w14:textId="77777777" w:rsidR="009A1273" w:rsidRPr="009A1273" w:rsidRDefault="009A1273" w:rsidP="009A1273">
      <w:pPr>
        <w:pStyle w:val="ListParagraph"/>
        <w:numPr>
          <w:ilvl w:val="2"/>
          <w:numId w:val="1"/>
        </w:numPr>
        <w:rPr>
          <w:rFonts w:ascii="Cambria" w:eastAsia="Calibri" w:hAnsi="Cambria" w:cs="Times New Roman"/>
          <w:sz w:val="24"/>
          <w:szCs w:val="24"/>
        </w:rPr>
      </w:pPr>
      <w:r w:rsidRPr="009A1273">
        <w:rPr>
          <w:rFonts w:ascii="Cambria" w:eastAsia="Calibri" w:hAnsi="Cambria" w:cs="Times New Roman"/>
          <w:sz w:val="24"/>
          <w:szCs w:val="24"/>
        </w:rPr>
        <w:t xml:space="preserve">Fund mileage reimbursement for EMS practitioners to attend training </w:t>
      </w:r>
    </w:p>
    <w:p w14:paraId="70F70F52" w14:textId="1E64A4C0" w:rsidR="009A1273" w:rsidRPr="009A1273" w:rsidRDefault="009A1273" w:rsidP="009A1273">
      <w:pPr>
        <w:pStyle w:val="ListParagraph"/>
        <w:numPr>
          <w:ilvl w:val="1"/>
          <w:numId w:val="1"/>
        </w:numPr>
        <w:rPr>
          <w:rFonts w:ascii="Cambria" w:eastAsia="Calibri" w:hAnsi="Cambria" w:cs="Times New Roman"/>
          <w:sz w:val="24"/>
          <w:szCs w:val="24"/>
        </w:rPr>
      </w:pPr>
      <w:r w:rsidRPr="009A1273">
        <w:rPr>
          <w:rFonts w:ascii="Cambria" w:eastAsia="Calibri" w:hAnsi="Cambria" w:cs="Times New Roman"/>
          <w:sz w:val="24"/>
          <w:szCs w:val="24"/>
        </w:rPr>
        <w:t>Provide greater licensure flexibility for Paramedics and Advanced EMT level personnel to provide and be compensated for community-based care</w:t>
      </w:r>
      <w:r>
        <w:rPr>
          <w:rFonts w:ascii="Cambria" w:eastAsia="Calibri" w:hAnsi="Cambria" w:cs="Times New Roman"/>
          <w:sz w:val="24"/>
          <w:szCs w:val="24"/>
        </w:rPr>
        <w:t xml:space="preserve"> that does not require transport</w:t>
      </w:r>
    </w:p>
    <w:p w14:paraId="4F2B218F" w14:textId="562DC90E" w:rsidR="009A1273" w:rsidRDefault="009A1273" w:rsidP="009A1273">
      <w:pPr>
        <w:pStyle w:val="ListParagraph"/>
        <w:numPr>
          <w:ilvl w:val="1"/>
          <w:numId w:val="1"/>
        </w:numPr>
        <w:rPr>
          <w:rFonts w:ascii="Cambria" w:eastAsia="Calibri" w:hAnsi="Cambria" w:cs="Times New Roman"/>
          <w:sz w:val="24"/>
          <w:szCs w:val="24"/>
        </w:rPr>
      </w:pPr>
      <w:r w:rsidRPr="009A1273">
        <w:rPr>
          <w:rFonts w:ascii="Cambria" w:eastAsia="Calibri" w:hAnsi="Cambria" w:cs="Times New Roman"/>
          <w:sz w:val="24"/>
          <w:szCs w:val="24"/>
        </w:rPr>
        <w:t>Support integration of EMS patient data into the SHIN-NY health record</w:t>
      </w:r>
    </w:p>
    <w:p w14:paraId="35871094" w14:textId="7201589E" w:rsidR="005B02A6" w:rsidRDefault="005B02A6" w:rsidP="009A1273">
      <w:pPr>
        <w:pStyle w:val="ListParagraph"/>
        <w:numPr>
          <w:ilvl w:val="1"/>
          <w:numId w:val="1"/>
        </w:numPr>
        <w:rPr>
          <w:rFonts w:ascii="Cambria" w:eastAsia="Calibri" w:hAnsi="Cambria" w:cs="Times New Roman"/>
          <w:sz w:val="24"/>
          <w:szCs w:val="24"/>
        </w:rPr>
      </w:pPr>
      <w:r>
        <w:rPr>
          <w:rFonts w:ascii="Cambria" w:eastAsia="Calibri" w:hAnsi="Cambria" w:cs="Times New Roman"/>
          <w:sz w:val="24"/>
          <w:szCs w:val="24"/>
        </w:rPr>
        <w:t>Co-Sponsor the Rural Ambulance Service Task Force [A1561]</w:t>
      </w:r>
    </w:p>
    <w:p w14:paraId="280D4A40" w14:textId="0C346798" w:rsidR="002D539D" w:rsidRDefault="002D539D" w:rsidP="002D539D">
      <w:pPr>
        <w:pStyle w:val="ListParagraph"/>
        <w:ind w:left="1440"/>
        <w:rPr>
          <w:rFonts w:ascii="Cambria" w:eastAsia="Calibri" w:hAnsi="Cambria" w:cs="Times New Roman"/>
          <w:sz w:val="24"/>
          <w:szCs w:val="24"/>
        </w:rPr>
      </w:pPr>
    </w:p>
    <w:p w14:paraId="5176EFE2" w14:textId="77777777" w:rsidR="002D539D" w:rsidRDefault="002D539D" w:rsidP="002D539D">
      <w:pPr>
        <w:pStyle w:val="ListParagraph"/>
        <w:ind w:left="1440"/>
        <w:rPr>
          <w:rFonts w:ascii="Cambria" w:eastAsia="Calibri" w:hAnsi="Cambria" w:cs="Times New Roman"/>
          <w:sz w:val="24"/>
          <w:szCs w:val="24"/>
        </w:rPr>
      </w:pPr>
    </w:p>
    <w:p w14:paraId="5671BEE8" w14:textId="064358D9" w:rsidR="002D539D" w:rsidRPr="002D539D" w:rsidRDefault="002D539D" w:rsidP="002D539D">
      <w:pPr>
        <w:pStyle w:val="ListParagraph"/>
        <w:numPr>
          <w:ilvl w:val="0"/>
          <w:numId w:val="1"/>
        </w:numPr>
        <w:rPr>
          <w:rFonts w:ascii="Cambria" w:eastAsia="Calibri" w:hAnsi="Cambria" w:cs="Times New Roman"/>
          <w:sz w:val="24"/>
          <w:szCs w:val="24"/>
        </w:rPr>
      </w:pPr>
      <w:r>
        <w:rPr>
          <w:rFonts w:ascii="Cambria" w:eastAsia="Calibri" w:hAnsi="Cambria" w:cs="Times New Roman"/>
          <w:b/>
          <w:bCs/>
          <w:sz w:val="24"/>
          <w:szCs w:val="24"/>
        </w:rPr>
        <w:t xml:space="preserve">Support </w:t>
      </w:r>
      <w:r w:rsidR="00EF045D">
        <w:rPr>
          <w:rFonts w:ascii="Cambria" w:eastAsia="Calibri" w:hAnsi="Cambria" w:cs="Times New Roman"/>
          <w:b/>
          <w:bCs/>
          <w:sz w:val="24"/>
          <w:szCs w:val="24"/>
        </w:rPr>
        <w:t>Public Health Infrastructure</w:t>
      </w:r>
    </w:p>
    <w:p w14:paraId="439EF5BA" w14:textId="40AA4481" w:rsidR="002D539D" w:rsidRPr="002D539D" w:rsidRDefault="002D539D" w:rsidP="002D539D">
      <w:pPr>
        <w:pStyle w:val="ListParagraph"/>
        <w:rPr>
          <w:rFonts w:ascii="Cambria" w:eastAsia="Calibri" w:hAnsi="Cambria" w:cs="Times New Roman"/>
          <w:sz w:val="24"/>
          <w:szCs w:val="24"/>
        </w:rPr>
      </w:pPr>
      <w:r>
        <w:rPr>
          <w:rFonts w:ascii="Cambria" w:eastAsia="Calibri" w:hAnsi="Cambria" w:cs="Times New Roman"/>
          <w:sz w:val="24"/>
          <w:szCs w:val="24"/>
        </w:rPr>
        <w:t>Our County Health Departments are the backbone of the Public Health system in NYS, and they have been working diligently to address the Public Health Emergency since Day One.  They deserve our respect, and the resources to do the job they are and statutorily mandated to do.</w:t>
      </w:r>
    </w:p>
    <w:p w14:paraId="0FF6142E" w14:textId="4A1583D4" w:rsidR="005B02A6" w:rsidRDefault="005B02A6" w:rsidP="002D539D">
      <w:pPr>
        <w:pStyle w:val="ListParagraph"/>
        <w:numPr>
          <w:ilvl w:val="0"/>
          <w:numId w:val="7"/>
        </w:numPr>
        <w:spacing w:after="0"/>
        <w:jc w:val="both"/>
        <w:rPr>
          <w:rFonts w:ascii="Cambria" w:hAnsi="Cambria" w:cs="Arial"/>
          <w:sz w:val="24"/>
          <w:szCs w:val="24"/>
        </w:rPr>
      </w:pPr>
      <w:r>
        <w:rPr>
          <w:rFonts w:ascii="Cambria" w:hAnsi="Cambria" w:cs="Arial"/>
          <w:sz w:val="24"/>
          <w:szCs w:val="24"/>
        </w:rPr>
        <w:t xml:space="preserve">Article 6 </w:t>
      </w:r>
      <w:r w:rsidR="00FB0955">
        <w:rPr>
          <w:rFonts w:ascii="Cambria" w:hAnsi="Cambria" w:cs="Arial"/>
          <w:sz w:val="24"/>
          <w:szCs w:val="24"/>
        </w:rPr>
        <w:t>S</w:t>
      </w:r>
      <w:r>
        <w:rPr>
          <w:rFonts w:ascii="Cambria" w:hAnsi="Cambria" w:cs="Arial"/>
          <w:sz w:val="24"/>
          <w:szCs w:val="24"/>
        </w:rPr>
        <w:t>ervices</w:t>
      </w:r>
    </w:p>
    <w:p w14:paraId="6DA668CF" w14:textId="6EB77AFC" w:rsidR="002D539D" w:rsidRPr="002D539D" w:rsidRDefault="002D539D" w:rsidP="002D539D">
      <w:pPr>
        <w:pStyle w:val="ListParagraph"/>
        <w:numPr>
          <w:ilvl w:val="0"/>
          <w:numId w:val="7"/>
        </w:numPr>
        <w:spacing w:after="0"/>
        <w:jc w:val="both"/>
        <w:rPr>
          <w:rFonts w:ascii="Cambria" w:hAnsi="Cambria" w:cs="Arial"/>
          <w:sz w:val="24"/>
          <w:szCs w:val="24"/>
        </w:rPr>
      </w:pPr>
      <w:r w:rsidRPr="002D539D">
        <w:rPr>
          <w:rFonts w:ascii="Cambria" w:hAnsi="Cambria" w:cs="Arial"/>
          <w:sz w:val="24"/>
          <w:szCs w:val="24"/>
        </w:rPr>
        <w:t>Alcohol/Drug/Tobacco/Vaping Prevention Programs</w:t>
      </w:r>
    </w:p>
    <w:p w14:paraId="0A034B44" w14:textId="77777777" w:rsidR="002D539D" w:rsidRPr="002D539D" w:rsidRDefault="002D539D" w:rsidP="002D539D">
      <w:pPr>
        <w:numPr>
          <w:ilvl w:val="0"/>
          <w:numId w:val="7"/>
        </w:numPr>
        <w:contextualSpacing/>
        <w:rPr>
          <w:rFonts w:ascii="Cambria" w:hAnsi="Cambria" w:cs="Arial"/>
          <w:sz w:val="24"/>
          <w:szCs w:val="24"/>
        </w:rPr>
      </w:pPr>
      <w:r w:rsidRPr="002D539D">
        <w:rPr>
          <w:rFonts w:ascii="Cambria" w:hAnsi="Cambria" w:cs="Arial"/>
          <w:sz w:val="24"/>
          <w:szCs w:val="24"/>
        </w:rPr>
        <w:t>Maternal &amp; Child Health</w:t>
      </w:r>
    </w:p>
    <w:p w14:paraId="6852DFA2" w14:textId="77777777" w:rsidR="002D539D" w:rsidRPr="002D539D" w:rsidRDefault="002D539D" w:rsidP="002D539D">
      <w:pPr>
        <w:numPr>
          <w:ilvl w:val="0"/>
          <w:numId w:val="7"/>
        </w:numPr>
        <w:contextualSpacing/>
        <w:rPr>
          <w:rFonts w:ascii="Cambria" w:hAnsi="Cambria" w:cs="Arial"/>
          <w:sz w:val="24"/>
          <w:szCs w:val="24"/>
        </w:rPr>
      </w:pPr>
      <w:r w:rsidRPr="002D539D">
        <w:rPr>
          <w:rFonts w:ascii="Cambria" w:hAnsi="Cambria" w:cs="Arial"/>
          <w:sz w:val="24"/>
          <w:szCs w:val="24"/>
        </w:rPr>
        <w:t>Chronic Disease Prevention &amp; Self-Management Programs</w:t>
      </w:r>
    </w:p>
    <w:p w14:paraId="4E5A4269" w14:textId="3581BB7F" w:rsidR="002D539D" w:rsidRDefault="002D539D" w:rsidP="002D539D">
      <w:pPr>
        <w:numPr>
          <w:ilvl w:val="0"/>
          <w:numId w:val="7"/>
        </w:numPr>
        <w:contextualSpacing/>
        <w:rPr>
          <w:rFonts w:ascii="Cambria" w:hAnsi="Cambria" w:cs="Arial"/>
          <w:sz w:val="24"/>
          <w:szCs w:val="24"/>
        </w:rPr>
      </w:pPr>
      <w:r w:rsidRPr="002D539D">
        <w:rPr>
          <w:rFonts w:ascii="Cambria" w:hAnsi="Cambria" w:cs="Arial"/>
          <w:sz w:val="24"/>
          <w:szCs w:val="24"/>
        </w:rPr>
        <w:t>Lead Education &amp; Abatement</w:t>
      </w:r>
    </w:p>
    <w:p w14:paraId="4D02D492" w14:textId="21357DB2" w:rsidR="002D539D" w:rsidRPr="002D539D" w:rsidRDefault="002D539D" w:rsidP="002D539D">
      <w:pPr>
        <w:numPr>
          <w:ilvl w:val="0"/>
          <w:numId w:val="7"/>
        </w:numPr>
        <w:contextualSpacing/>
        <w:rPr>
          <w:rFonts w:ascii="Cambria" w:hAnsi="Cambria" w:cs="Arial"/>
          <w:sz w:val="24"/>
          <w:szCs w:val="24"/>
        </w:rPr>
      </w:pPr>
      <w:r>
        <w:rPr>
          <w:rFonts w:ascii="Cambria" w:hAnsi="Cambria" w:cs="Arial"/>
          <w:sz w:val="24"/>
          <w:szCs w:val="24"/>
        </w:rPr>
        <w:t xml:space="preserve">Rabies &amp; TB monitoring </w:t>
      </w:r>
    </w:p>
    <w:p w14:paraId="77B299F2" w14:textId="77777777" w:rsidR="002D539D" w:rsidRPr="002D539D" w:rsidRDefault="002D539D" w:rsidP="002D539D">
      <w:pPr>
        <w:numPr>
          <w:ilvl w:val="0"/>
          <w:numId w:val="7"/>
        </w:numPr>
        <w:contextualSpacing/>
        <w:rPr>
          <w:rFonts w:ascii="Cambria" w:hAnsi="Cambria" w:cs="Arial"/>
          <w:sz w:val="24"/>
          <w:szCs w:val="24"/>
        </w:rPr>
      </w:pPr>
      <w:r w:rsidRPr="002D539D">
        <w:rPr>
          <w:rFonts w:ascii="Cambria" w:hAnsi="Cambria" w:cs="Arial"/>
          <w:sz w:val="24"/>
          <w:szCs w:val="24"/>
        </w:rPr>
        <w:t>Poison Control</w:t>
      </w:r>
    </w:p>
    <w:p w14:paraId="19C8D705" w14:textId="77777777" w:rsidR="002D539D" w:rsidRPr="002D539D" w:rsidRDefault="002D539D" w:rsidP="002D539D">
      <w:pPr>
        <w:numPr>
          <w:ilvl w:val="0"/>
          <w:numId w:val="7"/>
        </w:numPr>
        <w:contextualSpacing/>
        <w:rPr>
          <w:rFonts w:ascii="Cambria" w:hAnsi="Cambria" w:cs="Arial"/>
          <w:sz w:val="24"/>
          <w:szCs w:val="24"/>
        </w:rPr>
      </w:pPr>
      <w:r w:rsidRPr="002D539D">
        <w:rPr>
          <w:rFonts w:ascii="Cambria" w:hAnsi="Cambria" w:cs="Arial"/>
          <w:sz w:val="24"/>
          <w:szCs w:val="24"/>
        </w:rPr>
        <w:t>Immunization</w:t>
      </w:r>
    </w:p>
    <w:p w14:paraId="41D10EDF" w14:textId="77777777" w:rsidR="002D539D" w:rsidRPr="002D539D" w:rsidRDefault="002D539D" w:rsidP="002D539D">
      <w:pPr>
        <w:pStyle w:val="ListParagraph"/>
        <w:rPr>
          <w:rFonts w:ascii="Cambria" w:eastAsia="Calibri" w:hAnsi="Cambria" w:cs="Times New Roman"/>
          <w:sz w:val="24"/>
          <w:szCs w:val="24"/>
        </w:rPr>
      </w:pPr>
    </w:p>
    <w:p w14:paraId="6F4EE9BB" w14:textId="77777777" w:rsidR="009A1273" w:rsidRPr="009A1273" w:rsidRDefault="009A1273" w:rsidP="009A1273">
      <w:pPr>
        <w:pStyle w:val="ListParagraph"/>
        <w:spacing w:after="0"/>
        <w:rPr>
          <w:rFonts w:ascii="Cambria" w:hAnsi="Cambria" w:cs="Tahoma"/>
          <w:sz w:val="24"/>
          <w:szCs w:val="24"/>
        </w:rPr>
      </w:pPr>
    </w:p>
    <w:sectPr w:rsidR="009A1273" w:rsidRPr="009A12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51EA3" w14:textId="77777777" w:rsidR="00FB0485" w:rsidRDefault="00FB0485" w:rsidP="00FB0485">
      <w:pPr>
        <w:spacing w:after="0" w:line="240" w:lineRule="auto"/>
      </w:pPr>
      <w:r>
        <w:separator/>
      </w:r>
    </w:p>
  </w:endnote>
  <w:endnote w:type="continuationSeparator" w:id="0">
    <w:p w14:paraId="1698FD7C" w14:textId="77777777" w:rsidR="00FB0485" w:rsidRDefault="00FB0485" w:rsidP="00FB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373687"/>
      <w:docPartObj>
        <w:docPartGallery w:val="Page Numbers (Bottom of Page)"/>
        <w:docPartUnique/>
      </w:docPartObj>
    </w:sdtPr>
    <w:sdtEndPr>
      <w:rPr>
        <w:noProof/>
      </w:rPr>
    </w:sdtEndPr>
    <w:sdtContent>
      <w:p w14:paraId="0B48A85B" w14:textId="33C1487F" w:rsidR="00FB0485" w:rsidRDefault="00FB0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C63453" w14:textId="77777777" w:rsidR="00FB0485" w:rsidRDefault="00FB0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F1A5F" w14:textId="77777777" w:rsidR="00FB0485" w:rsidRDefault="00FB0485" w:rsidP="00FB0485">
      <w:pPr>
        <w:spacing w:after="0" w:line="240" w:lineRule="auto"/>
      </w:pPr>
      <w:r>
        <w:separator/>
      </w:r>
    </w:p>
  </w:footnote>
  <w:footnote w:type="continuationSeparator" w:id="0">
    <w:p w14:paraId="2875B2FB" w14:textId="77777777" w:rsidR="00FB0485" w:rsidRDefault="00FB0485" w:rsidP="00FB0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69B"/>
    <w:multiLevelType w:val="hybridMultilevel"/>
    <w:tmpl w:val="A6F80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96911"/>
    <w:multiLevelType w:val="hybridMultilevel"/>
    <w:tmpl w:val="28362100"/>
    <w:lvl w:ilvl="0" w:tplc="23D4BDF0">
      <w:start w:val="1"/>
      <w:numFmt w:val="decimal"/>
      <w:lvlText w:val="%1."/>
      <w:lvlJc w:val="left"/>
      <w:pPr>
        <w:ind w:left="360" w:hanging="360"/>
      </w:pPr>
      <w:rPr>
        <w:rFonts w:eastAsia="Calibri" w:cs="Times New Roman"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75719A"/>
    <w:multiLevelType w:val="hybridMultilevel"/>
    <w:tmpl w:val="2198491E"/>
    <w:lvl w:ilvl="0" w:tplc="45505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2C3EEE"/>
    <w:multiLevelType w:val="hybridMultilevel"/>
    <w:tmpl w:val="D74A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835CF"/>
    <w:multiLevelType w:val="hybridMultilevel"/>
    <w:tmpl w:val="0140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A667C"/>
    <w:multiLevelType w:val="hybridMultilevel"/>
    <w:tmpl w:val="D5861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3A2774"/>
    <w:multiLevelType w:val="hybridMultilevel"/>
    <w:tmpl w:val="80BE8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C1"/>
    <w:rsid w:val="000103CF"/>
    <w:rsid w:val="0008376F"/>
    <w:rsid w:val="001166D7"/>
    <w:rsid w:val="00121E3F"/>
    <w:rsid w:val="001A431F"/>
    <w:rsid w:val="002D539D"/>
    <w:rsid w:val="004C6E8B"/>
    <w:rsid w:val="004E4B98"/>
    <w:rsid w:val="004F56B5"/>
    <w:rsid w:val="005B02A6"/>
    <w:rsid w:val="006B7D60"/>
    <w:rsid w:val="00804DAA"/>
    <w:rsid w:val="00916379"/>
    <w:rsid w:val="009667AE"/>
    <w:rsid w:val="009A1273"/>
    <w:rsid w:val="00A15F98"/>
    <w:rsid w:val="00A3212E"/>
    <w:rsid w:val="00AF3F61"/>
    <w:rsid w:val="00B41016"/>
    <w:rsid w:val="00B8734B"/>
    <w:rsid w:val="00B915A6"/>
    <w:rsid w:val="00C150C9"/>
    <w:rsid w:val="00CE37C5"/>
    <w:rsid w:val="00D76D5F"/>
    <w:rsid w:val="00DB4C8C"/>
    <w:rsid w:val="00E65BC1"/>
    <w:rsid w:val="00E70B15"/>
    <w:rsid w:val="00EC5398"/>
    <w:rsid w:val="00ED25FB"/>
    <w:rsid w:val="00EF045D"/>
    <w:rsid w:val="00F65B66"/>
    <w:rsid w:val="00FB0485"/>
    <w:rsid w:val="00FB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7390"/>
  <w15:chartTrackingRefBased/>
  <w15:docId w15:val="{714C0B97-72B6-4536-84F9-7057EC37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BC1"/>
    <w:rPr>
      <w:color w:val="0563C1" w:themeColor="hyperlink"/>
      <w:u w:val="single"/>
    </w:rPr>
  </w:style>
  <w:style w:type="character" w:styleId="UnresolvedMention">
    <w:name w:val="Unresolved Mention"/>
    <w:basedOn w:val="DefaultParagraphFont"/>
    <w:uiPriority w:val="99"/>
    <w:semiHidden/>
    <w:unhideWhenUsed/>
    <w:rsid w:val="00E65BC1"/>
    <w:rPr>
      <w:color w:val="605E5C"/>
      <w:shd w:val="clear" w:color="auto" w:fill="E1DFDD"/>
    </w:rPr>
  </w:style>
  <w:style w:type="paragraph" w:styleId="ListParagraph">
    <w:name w:val="List Paragraph"/>
    <w:basedOn w:val="Normal"/>
    <w:uiPriority w:val="34"/>
    <w:qFormat/>
    <w:rsid w:val="00ED25FB"/>
    <w:pPr>
      <w:ind w:left="720"/>
      <w:contextualSpacing/>
    </w:pPr>
  </w:style>
  <w:style w:type="paragraph" w:styleId="Header">
    <w:name w:val="header"/>
    <w:basedOn w:val="Normal"/>
    <w:link w:val="HeaderChar"/>
    <w:uiPriority w:val="99"/>
    <w:unhideWhenUsed/>
    <w:rsid w:val="00FB0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85"/>
  </w:style>
  <w:style w:type="paragraph" w:styleId="Footer">
    <w:name w:val="footer"/>
    <w:basedOn w:val="Normal"/>
    <w:link w:val="FooterChar"/>
    <w:uiPriority w:val="99"/>
    <w:unhideWhenUsed/>
    <w:rsid w:val="00FB0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AR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nysar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10</cp:revision>
  <dcterms:created xsi:type="dcterms:W3CDTF">2021-01-26T23:44:00Z</dcterms:created>
  <dcterms:modified xsi:type="dcterms:W3CDTF">2021-01-27T00:48:00Z</dcterms:modified>
</cp:coreProperties>
</file>